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2AB9E">
      <w:pPr>
        <w:pStyle w:val="7"/>
        <w:spacing w:before="0" w:beforeAutospacing="0" w:after="0" w:afterAutospacing="0"/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九台区人民医院医疗器械项目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eastAsia="zh-CN"/>
        </w:rPr>
        <w:t>单一来源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招标公告（采购项目编号：JTQRMYYYLQX202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4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00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  <w:lang w:val="en-US" w:eastAsia="zh-CN"/>
        </w:rPr>
        <w:t>17</w:t>
      </w:r>
      <w:r>
        <w:rPr>
          <w:rFonts w:hint="eastAsia" w:asciiTheme="majorEastAsia" w:hAnsiTheme="majorEastAsia" w:eastAsiaTheme="majorEastAsia"/>
          <w:b/>
          <w:color w:val="333333"/>
          <w:sz w:val="36"/>
          <w:szCs w:val="36"/>
          <w:shd w:val="clear" w:color="auto" w:fill="FFFFFF"/>
        </w:rPr>
        <w:t>）</w:t>
      </w:r>
    </w:p>
    <w:p w14:paraId="4323588F">
      <w:pPr>
        <w:pStyle w:val="7"/>
        <w:spacing w:before="0" w:beforeAutospacing="0" w:after="0" w:afterAutospacing="0"/>
        <w:ind w:firstLine="480"/>
        <w:rPr>
          <w:rFonts w:asciiTheme="minorEastAsia" w:hAnsiTheme="minorEastAsia" w:eastAsiaTheme="minorEastAsia"/>
          <w:sz w:val="32"/>
          <w:szCs w:val="32"/>
        </w:rPr>
      </w:pPr>
    </w:p>
    <w:p w14:paraId="661F881D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依据公平、公正、公开的原则，九台区人民医院设备科就本采购项目组织院内招标、询价。现邀请符合条件的供应商参与投标，供应商必须符合《中华人民共和国政府</w:t>
      </w:r>
      <w:r>
        <w:rPr>
          <w:rFonts w:hint="eastAsia" w:cs="宋体"/>
          <w:sz w:val="28"/>
          <w:szCs w:val="28"/>
          <w:lang w:eastAsia="zh-CN"/>
        </w:rPr>
        <w:t>民法典</w:t>
      </w:r>
      <w:r>
        <w:rPr>
          <w:rFonts w:hint="eastAsia" w:ascii="宋体" w:hAnsi="宋体" w:eastAsia="宋体" w:cs="宋体"/>
          <w:sz w:val="28"/>
          <w:szCs w:val="28"/>
        </w:rPr>
        <w:t>》规定,具体如下：</w:t>
      </w:r>
    </w:p>
    <w:p w14:paraId="6732CD67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⑴具有独立承担民事责任的能力</w:t>
      </w:r>
    </w:p>
    <w:p w14:paraId="41FD6B87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⑵具有良好的商业信誉和健全的财务会计制度</w:t>
      </w:r>
    </w:p>
    <w:p w14:paraId="36405B0E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⑶具有履行合同所必需的设备和专业技术能力</w:t>
      </w:r>
    </w:p>
    <w:p w14:paraId="763A9612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⑷有依法缴纳税收和社会保障资金的良好记录</w:t>
      </w:r>
    </w:p>
    <w:p w14:paraId="04F9F519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⑸参加政府采购活动前三年内，在经营活动中没有重大违法记录</w:t>
      </w:r>
      <w:bookmarkStart w:id="0" w:name="_GoBack"/>
      <w:bookmarkEnd w:id="0"/>
    </w:p>
    <w:p w14:paraId="7131B166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⑹法律、行政法规规定的其他条件。</w:t>
      </w:r>
    </w:p>
    <w:p w14:paraId="20FB8E2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采购人可以根据医疗器械使用的特殊要求，规定供应商的特定条件。</w:t>
      </w:r>
    </w:p>
    <w:p w14:paraId="7D0943F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实施细则</w:t>
      </w:r>
    </w:p>
    <w:p w14:paraId="5FA60E2C">
      <w:pPr>
        <w:pStyle w:val="7"/>
        <w:numPr>
          <w:ilvl w:val="0"/>
          <w:numId w:val="1"/>
        </w:numPr>
        <w:spacing w:before="0" w:beforeAutospacing="0" w:after="0" w:afterAutospacing="0"/>
        <w:ind w:firstLine="480"/>
        <w:rPr>
          <w:rFonts w:hint="default" w:ascii="宋体" w:hAnsi="宋体" w:eastAsia="宋体" w:cs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采购项目编号:</w:t>
      </w:r>
      <w:r>
        <w:rPr>
          <w:rFonts w:hint="eastAsia" w:ascii="宋体" w:hAnsi="宋体" w:eastAsia="宋体" w:cs="宋体"/>
          <w:b/>
          <w:color w:val="333333"/>
          <w:kern w:val="2"/>
          <w:sz w:val="28"/>
          <w:szCs w:val="28"/>
          <w:shd w:val="clear" w:color="auto" w:fill="FFFFFF"/>
        </w:rPr>
        <w:t xml:space="preserve"> </w:t>
      </w:r>
      <w:r>
        <w:rPr>
          <w:rFonts w:hint="eastAsia" w:ascii="宋体" w:hAnsi="宋体" w:eastAsia="宋体" w:cs="宋体"/>
          <w:b/>
          <w:sz w:val="28"/>
          <w:szCs w:val="28"/>
        </w:rPr>
        <w:t>JTQRMYYYLQX202</w:t>
      </w:r>
      <w:r>
        <w:rPr>
          <w:rFonts w:hint="eastAsia" w:cs="宋体"/>
          <w:b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/>
          <w:sz w:val="28"/>
          <w:szCs w:val="28"/>
        </w:rPr>
        <w:t>00</w:t>
      </w:r>
      <w:r>
        <w:rPr>
          <w:rFonts w:hint="eastAsia" w:cs="宋体"/>
          <w:b/>
          <w:sz w:val="28"/>
          <w:szCs w:val="28"/>
          <w:lang w:val="en-US" w:eastAsia="zh-CN"/>
        </w:rPr>
        <w:t>17</w:t>
      </w:r>
    </w:p>
    <w:p w14:paraId="4D646ACC">
      <w:pPr>
        <w:pStyle w:val="7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eastAsia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需求科室：</w:t>
      </w:r>
      <w:r>
        <w:rPr>
          <w:rFonts w:hint="eastAsia" w:cs="宋体"/>
          <w:sz w:val="28"/>
          <w:szCs w:val="28"/>
          <w:lang w:eastAsia="zh-CN"/>
        </w:rPr>
        <w:t>透析科</w:t>
      </w:r>
    </w:p>
    <w:p w14:paraId="125A169F">
      <w:pPr>
        <w:pStyle w:val="7"/>
        <w:numPr>
          <w:ilvl w:val="0"/>
          <w:numId w:val="1"/>
        </w:numPr>
        <w:spacing w:before="0" w:beforeAutospacing="0" w:after="0" w:afterAutospacing="0"/>
        <w:ind w:left="0" w:leftChars="0" w:firstLine="480" w:firstLineChars="0"/>
        <w:rPr>
          <w:rFonts w:hint="eastAsia" w:cs="宋体"/>
          <w:sz w:val="28"/>
          <w:szCs w:val="28"/>
          <w:lang w:eastAsia="zh-CN"/>
        </w:rPr>
      </w:pPr>
      <w:r>
        <w:rPr>
          <w:rFonts w:hint="eastAsia" w:cs="宋体"/>
          <w:sz w:val="28"/>
          <w:szCs w:val="28"/>
          <w:lang w:eastAsia="zh-CN"/>
        </w:rPr>
        <w:t>招标</w:t>
      </w: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cs="宋体"/>
          <w:sz w:val="28"/>
          <w:szCs w:val="28"/>
          <w:lang w:eastAsia="zh-CN"/>
        </w:rPr>
        <w:t>制水设备保养项目</w:t>
      </w:r>
    </w:p>
    <w:p w14:paraId="4491DDD8">
      <w:pPr>
        <w:pStyle w:val="7"/>
        <w:spacing w:before="0" w:beforeAutospacing="0" w:after="0" w:afterAutospacing="0"/>
        <w:ind w:firstLine="48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四、项目明细：</w:t>
      </w:r>
      <w:r>
        <w:rPr>
          <w:rFonts w:hint="eastAsia" w:cs="宋体"/>
          <w:sz w:val="28"/>
          <w:szCs w:val="28"/>
          <w:lang w:val="en-US" w:eastAsia="zh-CN"/>
        </w:rPr>
        <w:t>杭州天创环境科技股份有限公司生产的TCHJ-5型制水主机保养业务</w:t>
      </w:r>
    </w:p>
    <w:p w14:paraId="49A40ED3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eastAsia="zh-CN"/>
        </w:rPr>
        <w:t>五、</w:t>
      </w:r>
      <w:r>
        <w:rPr>
          <w:rFonts w:hint="eastAsia" w:ascii="宋体" w:hAnsi="宋体" w:eastAsia="宋体" w:cs="宋体"/>
          <w:sz w:val="28"/>
          <w:szCs w:val="28"/>
        </w:rPr>
        <w:t>项目采购预算（万元）：</w:t>
      </w:r>
      <w:r>
        <w:rPr>
          <w:rFonts w:hint="eastAsia" w:cs="宋体"/>
          <w:sz w:val="28"/>
          <w:szCs w:val="28"/>
          <w:lang w:val="en-US" w:eastAsia="zh-CN"/>
        </w:rPr>
        <w:t>6</w:t>
      </w:r>
    </w:p>
    <w:p w14:paraId="23BB8FDA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六、申请单一来源理由：1. 技术独特性</w:t>
      </w:r>
    </w:p>
    <w:p w14:paraId="7C9CF39C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①</w:t>
      </w:r>
      <w:r>
        <w:rPr>
          <w:rFonts w:hint="eastAsia" w:cs="宋体"/>
          <w:sz w:val="28"/>
          <w:szCs w:val="28"/>
          <w:lang w:val="en-US" w:eastAsia="zh-CN"/>
        </w:rPr>
        <w:t>制水设备的软件是专门为该设备定制开发的，具有特定的功能和算法，能够实现精确的水质控制、生产流程管理等关键任务。</w:t>
      </w:r>
    </w:p>
    <w:p w14:paraId="6BD513DB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②</w:t>
      </w:r>
      <w:r>
        <w:rPr>
          <w:rFonts w:hint="eastAsia" w:cs="宋体"/>
          <w:sz w:val="28"/>
          <w:szCs w:val="28"/>
          <w:lang w:val="en-US" w:eastAsia="zh-CN"/>
        </w:rPr>
        <w:t>PLC 与软件紧密结合，通过特定的编程和接口设计，实现对制水设备的自动化控制。这种独特的技术组合使得其他通用软件和 PLC 难以替代。</w:t>
      </w:r>
    </w:p>
    <w:p w14:paraId="022DC638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eastAsia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2. 兼容性要求</w:t>
      </w:r>
    </w:p>
    <w:p w14:paraId="49448099">
      <w:pPr>
        <w:pStyle w:val="7"/>
        <w:numPr>
          <w:ilvl w:val="0"/>
          <w:numId w:val="0"/>
        </w:numPr>
        <w:spacing w:before="0" w:beforeAutospacing="0" w:after="0" w:afterAutospacing="0"/>
        <w:ind w:left="480" w:leftChars="0"/>
        <w:rPr>
          <w:rFonts w:hint="default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    为了保证制水设备的稳定运行，新采购的软件和 PLC 必须与现有设备完全兼容。任何不兼容的产品可能导致设备故障、生产中断或水质问题，综上因素，故申请单一来源采购。</w:t>
      </w:r>
    </w:p>
    <w:p w14:paraId="629841EC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七</w:t>
      </w:r>
      <w:r>
        <w:rPr>
          <w:rFonts w:hint="eastAsia" w:ascii="宋体" w:hAnsi="宋体" w:eastAsia="宋体" w:cs="宋体"/>
          <w:sz w:val="28"/>
          <w:szCs w:val="28"/>
        </w:rPr>
        <w:t>、投标供应商报名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所需材料</w:t>
      </w:r>
      <w:r>
        <w:rPr>
          <w:rFonts w:hint="eastAsia" w:ascii="宋体" w:hAnsi="宋体" w:eastAsia="宋体" w:cs="宋体"/>
          <w:sz w:val="28"/>
          <w:szCs w:val="28"/>
        </w:rPr>
        <w:t>:</w:t>
      </w:r>
    </w:p>
    <w:p w14:paraId="458C330A"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（1）供应商《营业执照》（三证合一），代理人需要法人出具授权函。</w:t>
      </w:r>
    </w:p>
    <w:p w14:paraId="6D446E74"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（2）医疗器械注册证（如无医疗器械注册证，出具不属于医疗器械管理范畴的政府官方的声明）</w:t>
      </w:r>
    </w:p>
    <w:p w14:paraId="3A1B01B1"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（3）生产厂家或一级代理商的授权或者证明产品合法来源的相关材料，授权及相关证明在有效期内，不得过期。</w:t>
      </w:r>
    </w:p>
    <w:p w14:paraId="5934CB58"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）提供国家企业信用信息公示系统网站的基础信息截图（包含营业执照信息、股东及出资信息、主要人员信息），3年内在经营活动中没有重大违法记录的书面声明函。</w:t>
      </w:r>
    </w:p>
    <w:p w14:paraId="63883600">
      <w:pPr>
        <w:pStyle w:val="7"/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）具备法律、行政法规规定的供应商资质及证明材料。</w:t>
      </w:r>
    </w:p>
    <w:p w14:paraId="669259E5">
      <w:pPr>
        <w:pStyle w:val="7"/>
        <w:numPr>
          <w:ilvl w:val="0"/>
          <w:numId w:val="0"/>
        </w:numPr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八、报名</w:t>
      </w:r>
      <w:r>
        <w:rPr>
          <w:rFonts w:hint="eastAsia" w:ascii="宋体" w:hAnsi="宋体" w:eastAsia="宋体" w:cs="宋体"/>
          <w:sz w:val="28"/>
          <w:szCs w:val="28"/>
        </w:rPr>
        <w:t>获取采购文件</w:t>
      </w:r>
    </w:p>
    <w:p w14:paraId="71256EDF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时间：202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日至202</w:t>
      </w:r>
      <w:r>
        <w:rPr>
          <w:rFonts w:hint="eastAsia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日，每天上午9:30至11:30，下午13:30至16:30（北京时间，法定节假日除外）</w:t>
      </w:r>
    </w:p>
    <w:p w14:paraId="0998180F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2.方式：</w:t>
      </w:r>
      <w:r>
        <w:rPr>
          <w:rFonts w:hint="eastAsia" w:cs="宋体"/>
          <w:sz w:val="28"/>
          <w:szCs w:val="28"/>
          <w:lang w:eastAsia="zh-CN"/>
        </w:rPr>
        <w:t>现场报名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0FE97E67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3.地点：</w:t>
      </w:r>
      <w:r>
        <w:rPr>
          <w:rFonts w:hint="eastAsia" w:cs="宋体"/>
          <w:sz w:val="28"/>
          <w:szCs w:val="28"/>
          <w:lang w:eastAsia="zh-CN"/>
        </w:rPr>
        <w:t>长春市九台区人民医院三楼供应科</w:t>
      </w:r>
    </w:p>
    <w:p w14:paraId="534E0C98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4.报名资料：供应商须持以下材料的复印件并加盖单位公章（鲜章）到报名地点领取文件：</w:t>
      </w:r>
    </w:p>
    <w:p w14:paraId="2B6ED16F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（1）营业执照；</w:t>
      </w:r>
    </w:p>
    <w:p w14:paraId="19A63E8A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（2）法定代表人授权委托书；</w:t>
      </w:r>
    </w:p>
    <w:p w14:paraId="0E766C60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（3）授权人、被授权人身份证复印件；</w:t>
      </w:r>
    </w:p>
    <w:p w14:paraId="7554E561">
      <w:pPr>
        <w:pStyle w:val="7"/>
        <w:numPr>
          <w:ilvl w:val="0"/>
          <w:numId w:val="0"/>
        </w:numPr>
        <w:spacing w:before="0" w:beforeAutospacing="0" w:after="0" w:afterAutospacing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（4）报名表（格式见附件），同时携带电子版报名表格（U盘）；</w:t>
      </w:r>
    </w:p>
    <w:p w14:paraId="02947358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九</w:t>
      </w:r>
      <w:r>
        <w:rPr>
          <w:rFonts w:hint="eastAsia" w:ascii="宋体" w:hAnsi="宋体" w:eastAsia="宋体" w:cs="宋体"/>
          <w:sz w:val="28"/>
          <w:szCs w:val="28"/>
        </w:rPr>
        <w:t>、提交响应文件截止时间、开标时间和地点</w:t>
      </w:r>
    </w:p>
    <w:p w14:paraId="25AB86A6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1.响应文件递交的截止时间参照响应开标时间要求。</w:t>
      </w:r>
    </w:p>
    <w:p w14:paraId="49BC9D40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2.逾期送达的或者未送达指定地点的响应文件，采购人不予受理。</w:t>
      </w:r>
    </w:p>
    <w:p w14:paraId="6071E417">
      <w:pPr>
        <w:pStyle w:val="7"/>
        <w:spacing w:before="0" w:beforeAutospacing="0" w:after="0" w:afterAutospacing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eastAsia="zh-CN"/>
        </w:rPr>
        <w:t>十</w:t>
      </w:r>
      <w:r>
        <w:rPr>
          <w:rFonts w:hint="eastAsia" w:ascii="宋体" w:hAnsi="宋体" w:eastAsia="宋体" w:cs="宋体"/>
          <w:sz w:val="28"/>
          <w:szCs w:val="28"/>
        </w:rPr>
        <w:t>、公告期限</w:t>
      </w:r>
    </w:p>
    <w:p w14:paraId="24C84FE8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1.同响应文件发放时间。</w:t>
      </w:r>
    </w:p>
    <w:p w14:paraId="2D73D03A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</w:rPr>
      </w:pPr>
    </w:p>
    <w:p w14:paraId="5A38FA8F">
      <w:pPr>
        <w:pStyle w:val="7"/>
        <w:spacing w:before="0" w:beforeAutospacing="0" w:after="0" w:afterAutospacing="0"/>
        <w:ind w:firstLine="48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3AFD078C">
      <w:pPr>
        <w:pStyle w:val="17"/>
        <w:spacing w:line="360" w:lineRule="auto"/>
        <w:rPr>
          <w:rFonts w:ascii="宋体" w:hAnsi="宋体" w:eastAsia="宋体" w:cs="宋体"/>
          <w:b/>
          <w:bCs/>
          <w:kern w:val="2"/>
          <w:sz w:val="21"/>
          <w:szCs w:val="21"/>
        </w:rPr>
        <w:sectPr>
          <w:headerReference r:id="rId4" w:type="first"/>
          <w:footerReference r:id="rId5" w:type="first"/>
          <w:headerReference r:id="rId3" w:type="default"/>
          <w:pgSz w:w="16840" w:h="11907" w:orient="landscape"/>
          <w:pgMar w:top="1020" w:right="1077" w:bottom="1020" w:left="1077" w:header="851" w:footer="851" w:gutter="0"/>
          <w:cols w:space="0" w:num="1"/>
          <w:titlePg/>
          <w:docGrid w:linePitch="312" w:charSpace="0"/>
        </w:sectPr>
      </w:pPr>
    </w:p>
    <w:tbl>
      <w:tblPr>
        <w:tblStyle w:val="8"/>
        <w:tblW w:w="901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627"/>
        <w:gridCol w:w="6387"/>
      </w:tblGrid>
      <w:tr w14:paraId="0BDB0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9014" w:type="dxa"/>
            <w:gridSpan w:val="2"/>
            <w:shd w:val="clear" w:color="auto" w:fill="BFBFBF"/>
            <w:noWrap w:val="0"/>
            <w:vAlign w:val="center"/>
          </w:tcPr>
          <w:p w14:paraId="2BFA9337">
            <w:pPr>
              <w:jc w:val="center"/>
              <w:rPr>
                <w:rFonts w:hint="default" w:ascii="宋体" w:hAnsi="宋体"/>
                <w:b/>
              </w:rPr>
            </w:pPr>
            <w:r>
              <w:rPr>
                <w:rFonts w:hint="eastAsia" w:ascii="宋体" w:hAnsi="宋体"/>
                <w:b/>
                <w:sz w:val="28"/>
                <w:lang w:val="en-US" w:eastAsia="zh-CN"/>
              </w:rPr>
              <w:t>长春市九台区人民医院招</w:t>
            </w:r>
            <w:r>
              <w:rPr>
                <w:rFonts w:hint="eastAsia" w:ascii="宋体" w:hAnsi="宋体"/>
                <w:b/>
                <w:sz w:val="28"/>
                <w:lang w:val="en-US" w:eastAsia="zh-Hans"/>
              </w:rPr>
              <w:t>标</w:t>
            </w:r>
            <w:r>
              <w:rPr>
                <w:rFonts w:hint="eastAsia" w:ascii="宋体" w:hAnsi="宋体"/>
                <w:b/>
                <w:sz w:val="28"/>
              </w:rPr>
              <w:t>项目报名表</w:t>
            </w:r>
          </w:p>
        </w:tc>
      </w:tr>
      <w:tr w14:paraId="61FCD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4F643077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6387" w:type="dxa"/>
            <w:noWrap w:val="0"/>
            <w:vAlign w:val="center"/>
          </w:tcPr>
          <w:p w14:paraId="3F28C128">
            <w:pPr>
              <w:ind w:firstLine="210" w:firstLineChars="100"/>
              <w:rPr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bCs/>
              </w:rPr>
              <w:t xml:space="preserve">年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 xml:space="preserve">月 </w:t>
            </w:r>
            <w:r>
              <w:rPr>
                <w:rFonts w:ascii="宋体" w:hAnsi="宋体"/>
                <w:bCs/>
              </w:rPr>
              <w:t xml:space="preserve">  </w:t>
            </w:r>
            <w:r>
              <w:rPr>
                <w:rFonts w:hint="eastAsia" w:ascii="宋体" w:hAnsi="宋体"/>
                <w:bCs/>
              </w:rPr>
              <w:t>日</w:t>
            </w:r>
          </w:p>
        </w:tc>
      </w:tr>
      <w:tr w14:paraId="0C9B2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4" w:hRule="atLeast"/>
          <w:jc w:val="center"/>
        </w:trPr>
        <w:tc>
          <w:tcPr>
            <w:tcW w:w="2627" w:type="dxa"/>
            <w:noWrap w:val="0"/>
            <w:vAlign w:val="center"/>
          </w:tcPr>
          <w:p w14:paraId="4AA2EB8D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6387" w:type="dxa"/>
            <w:noWrap w:val="0"/>
            <w:vAlign w:val="center"/>
          </w:tcPr>
          <w:p w14:paraId="3DB342B9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2FCD9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06CBB27E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6387" w:type="dxa"/>
            <w:noWrap w:val="0"/>
            <w:vAlign w:val="center"/>
          </w:tcPr>
          <w:p w14:paraId="22C19DC3">
            <w:pPr>
              <w:snapToGrid w:val="0"/>
              <w:spacing w:line="360" w:lineRule="auto"/>
              <w:rPr>
                <w:rFonts w:hint="eastAsia" w:ascii="宋体" w:hAnsi="宋体" w:eastAsia="宋体"/>
                <w:b/>
                <w:lang w:val="en-US" w:eastAsia="zh-Hans"/>
              </w:rPr>
            </w:pPr>
          </w:p>
        </w:tc>
      </w:tr>
      <w:tr w14:paraId="5654F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4D74AE8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6387" w:type="dxa"/>
            <w:noWrap w:val="0"/>
            <w:vAlign w:val="center"/>
          </w:tcPr>
          <w:p w14:paraId="184D0D49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（填写完整的单位全称，必须与投标文件上的供应商一致）</w:t>
            </w:r>
          </w:p>
        </w:tc>
      </w:tr>
      <w:tr w14:paraId="26461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53F1F3DD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6387" w:type="dxa"/>
            <w:noWrap w:val="0"/>
            <w:vAlign w:val="center"/>
          </w:tcPr>
          <w:p w14:paraId="6A042C1D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245B3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6" w:hRule="atLeast"/>
          <w:jc w:val="center"/>
        </w:trPr>
        <w:tc>
          <w:tcPr>
            <w:tcW w:w="2627" w:type="dxa"/>
            <w:noWrap w:val="0"/>
            <w:vAlign w:val="center"/>
          </w:tcPr>
          <w:p w14:paraId="787C877B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6387" w:type="dxa"/>
            <w:noWrap w:val="0"/>
            <w:vAlign w:val="center"/>
          </w:tcPr>
          <w:p w14:paraId="28B68363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</w:t>
            </w:r>
            <w:r>
              <w:rPr>
                <w:rFonts w:hint="eastAsia" w:ascii="宋体" w:hAnsi="宋体"/>
                <w:bCs/>
                <w:lang w:eastAsia="zh-CN"/>
              </w:rPr>
              <w:t>未分包可不填，</w:t>
            </w:r>
            <w:r>
              <w:rPr>
                <w:rFonts w:hint="eastAsia" w:ascii="宋体" w:hAnsi="宋体"/>
                <w:bCs/>
              </w:rPr>
              <w:t>变更或放弃包号请来函告知，放弃投标请来函告知）</w:t>
            </w:r>
          </w:p>
        </w:tc>
      </w:tr>
      <w:tr w14:paraId="434718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noWrap w:val="0"/>
            <w:vAlign w:val="center"/>
          </w:tcPr>
          <w:p w14:paraId="6115A31A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6387" w:type="dxa"/>
            <w:noWrap w:val="0"/>
            <w:vAlign w:val="center"/>
          </w:tcPr>
          <w:p w14:paraId="2F3C6D72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（如有）</w:t>
            </w:r>
          </w:p>
        </w:tc>
      </w:tr>
      <w:tr w14:paraId="417FF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09" w:hRule="atLeast"/>
          <w:jc w:val="center"/>
        </w:trPr>
        <w:tc>
          <w:tcPr>
            <w:tcW w:w="2627" w:type="dxa"/>
            <w:noWrap w:val="0"/>
            <w:vAlign w:val="center"/>
          </w:tcPr>
          <w:p w14:paraId="3B23F661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6387" w:type="dxa"/>
            <w:noWrap w:val="0"/>
            <w:vAlign w:val="center"/>
          </w:tcPr>
          <w:p w14:paraId="6AC8B5A4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 w14:paraId="62C1B2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681" w:hRule="atLeast"/>
          <w:jc w:val="center"/>
        </w:trPr>
        <w:tc>
          <w:tcPr>
            <w:tcW w:w="2627" w:type="dxa"/>
            <w:noWrap w:val="0"/>
            <w:vAlign w:val="center"/>
          </w:tcPr>
          <w:p w14:paraId="2CDCD14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6387" w:type="dxa"/>
            <w:noWrap w:val="0"/>
            <w:vAlign w:val="center"/>
          </w:tcPr>
          <w:p w14:paraId="4E536DB6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</w:tc>
      </w:tr>
      <w:tr w14:paraId="4BD2C1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4" w:hRule="atLeast"/>
          <w:jc w:val="center"/>
        </w:trPr>
        <w:tc>
          <w:tcPr>
            <w:tcW w:w="2627" w:type="dxa"/>
            <w:noWrap w:val="0"/>
            <w:vAlign w:val="center"/>
          </w:tcPr>
          <w:p w14:paraId="67BDAC28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6387" w:type="dxa"/>
            <w:noWrap w:val="0"/>
            <w:vAlign w:val="center"/>
          </w:tcPr>
          <w:p w14:paraId="463F4BEE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 w14:paraId="25F9E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10" w:hRule="atLeast"/>
          <w:jc w:val="center"/>
        </w:trPr>
        <w:tc>
          <w:tcPr>
            <w:tcW w:w="2627" w:type="dxa"/>
            <w:tcBorders>
              <w:bottom w:val="single" w:color="auto" w:sz="4" w:space="0"/>
            </w:tcBorders>
            <w:noWrap w:val="0"/>
            <w:vAlign w:val="center"/>
          </w:tcPr>
          <w:p w14:paraId="698CC394"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6387" w:type="dxa"/>
            <w:tcBorders>
              <w:bottom w:val="single" w:color="auto" w:sz="4" w:space="0"/>
            </w:tcBorders>
            <w:noWrap w:val="0"/>
            <w:vAlign w:val="center"/>
          </w:tcPr>
          <w:p w14:paraId="002843E7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 w14:paraId="064E0E6A"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</w:tbl>
    <w:p w14:paraId="34788DDC">
      <w:pPr>
        <w:pStyle w:val="2"/>
        <w:rPr>
          <w:rFonts w:hint="eastAsia"/>
          <w:lang w:eastAsia="zh-CN"/>
        </w:rPr>
      </w:pPr>
    </w:p>
    <w:p w14:paraId="65E75823">
      <w:pPr>
        <w:pStyle w:val="2"/>
        <w:rPr>
          <w:rFonts w:hint="eastAsia"/>
          <w:lang w:eastAsia="zh-CN"/>
        </w:rPr>
      </w:pPr>
    </w:p>
    <w:sectPr>
      <w:head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D9444A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30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47BF6BCA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09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7BF6BCA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55FE34A">
    <w:pPr>
      <w:pStyle w:val="5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5DE989"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02B4C">
    <w:pPr>
      <w:pStyle w:val="6"/>
      <w:jc w:val="left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640715" cy="640715"/>
          <wp:effectExtent l="0" t="0" r="6985" b="6985"/>
          <wp:docPr id="3" name="图片 3" descr="微信图片_20240905135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3" descr="微信图片_2024090513523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715" cy="640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BF4DEF">
    <w:pPr>
      <w:pStyle w:val="6"/>
      <w:jc w:val="left"/>
    </w:pPr>
    <w:r>
      <w:drawing>
        <wp:inline distT="0" distB="0" distL="0" distR="0">
          <wp:extent cx="1118235" cy="988060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>长春市九台区人民医院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62D5A8"/>
    <w:multiLevelType w:val="singleLevel"/>
    <w:tmpl w:val="0662D5A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2Q5NjdhOGI2ZThiZWZlZDI0ZWRkNTM2Y2VhMWEifQ=="/>
  </w:docVars>
  <w:rsids>
    <w:rsidRoot w:val="00735AE3"/>
    <w:rsid w:val="00046EB4"/>
    <w:rsid w:val="0007326A"/>
    <w:rsid w:val="00090C2F"/>
    <w:rsid w:val="000A608F"/>
    <w:rsid w:val="000D0434"/>
    <w:rsid w:val="000D5BE2"/>
    <w:rsid w:val="000E3DC8"/>
    <w:rsid w:val="000F7766"/>
    <w:rsid w:val="00111458"/>
    <w:rsid w:val="00117ECC"/>
    <w:rsid w:val="001413BE"/>
    <w:rsid w:val="00145115"/>
    <w:rsid w:val="00146750"/>
    <w:rsid w:val="00181992"/>
    <w:rsid w:val="001B3843"/>
    <w:rsid w:val="001D7064"/>
    <w:rsid w:val="001E174A"/>
    <w:rsid w:val="001F4C3A"/>
    <w:rsid w:val="00202137"/>
    <w:rsid w:val="002328B5"/>
    <w:rsid w:val="00237A5E"/>
    <w:rsid w:val="00252039"/>
    <w:rsid w:val="00266CA4"/>
    <w:rsid w:val="002717AF"/>
    <w:rsid w:val="00297AC4"/>
    <w:rsid w:val="002A2878"/>
    <w:rsid w:val="002A5B27"/>
    <w:rsid w:val="002B763E"/>
    <w:rsid w:val="002E6A35"/>
    <w:rsid w:val="002F47B4"/>
    <w:rsid w:val="00367869"/>
    <w:rsid w:val="0037681F"/>
    <w:rsid w:val="00377913"/>
    <w:rsid w:val="00380BD7"/>
    <w:rsid w:val="003A17A7"/>
    <w:rsid w:val="003B202F"/>
    <w:rsid w:val="003D44C3"/>
    <w:rsid w:val="003E7775"/>
    <w:rsid w:val="004263F6"/>
    <w:rsid w:val="00446A20"/>
    <w:rsid w:val="0048039B"/>
    <w:rsid w:val="0049292D"/>
    <w:rsid w:val="004940FE"/>
    <w:rsid w:val="004E264D"/>
    <w:rsid w:val="00505D2E"/>
    <w:rsid w:val="0054132D"/>
    <w:rsid w:val="0055554E"/>
    <w:rsid w:val="00575597"/>
    <w:rsid w:val="0058646F"/>
    <w:rsid w:val="005865B2"/>
    <w:rsid w:val="005B0283"/>
    <w:rsid w:val="005B5242"/>
    <w:rsid w:val="005E0B3D"/>
    <w:rsid w:val="005E71BF"/>
    <w:rsid w:val="00607AC6"/>
    <w:rsid w:val="00634841"/>
    <w:rsid w:val="00642E5D"/>
    <w:rsid w:val="006524EE"/>
    <w:rsid w:val="00656567"/>
    <w:rsid w:val="00682FBF"/>
    <w:rsid w:val="0069104D"/>
    <w:rsid w:val="006B4461"/>
    <w:rsid w:val="006C539C"/>
    <w:rsid w:val="006D04FD"/>
    <w:rsid w:val="006D5129"/>
    <w:rsid w:val="006F3221"/>
    <w:rsid w:val="00733846"/>
    <w:rsid w:val="00735AE3"/>
    <w:rsid w:val="007722C8"/>
    <w:rsid w:val="00772A71"/>
    <w:rsid w:val="0079594C"/>
    <w:rsid w:val="0079658A"/>
    <w:rsid w:val="007A1062"/>
    <w:rsid w:val="007B638E"/>
    <w:rsid w:val="007D35CF"/>
    <w:rsid w:val="007F7897"/>
    <w:rsid w:val="00820960"/>
    <w:rsid w:val="008444A3"/>
    <w:rsid w:val="0087260D"/>
    <w:rsid w:val="00883176"/>
    <w:rsid w:val="008834E6"/>
    <w:rsid w:val="008A6FA7"/>
    <w:rsid w:val="008C07E0"/>
    <w:rsid w:val="008D0838"/>
    <w:rsid w:val="008D1E7B"/>
    <w:rsid w:val="008F22EB"/>
    <w:rsid w:val="008F4DB5"/>
    <w:rsid w:val="008F5BB1"/>
    <w:rsid w:val="009017CC"/>
    <w:rsid w:val="00906583"/>
    <w:rsid w:val="0092189A"/>
    <w:rsid w:val="009316A5"/>
    <w:rsid w:val="00932E61"/>
    <w:rsid w:val="0093665F"/>
    <w:rsid w:val="0095363A"/>
    <w:rsid w:val="00953F0A"/>
    <w:rsid w:val="0096376F"/>
    <w:rsid w:val="0098514B"/>
    <w:rsid w:val="00987838"/>
    <w:rsid w:val="009A420D"/>
    <w:rsid w:val="009C3670"/>
    <w:rsid w:val="00A06EC1"/>
    <w:rsid w:val="00A2728D"/>
    <w:rsid w:val="00A30BB7"/>
    <w:rsid w:val="00A40E21"/>
    <w:rsid w:val="00A64ABB"/>
    <w:rsid w:val="00A72C52"/>
    <w:rsid w:val="00A96216"/>
    <w:rsid w:val="00A96AF5"/>
    <w:rsid w:val="00AA02CA"/>
    <w:rsid w:val="00AD52E6"/>
    <w:rsid w:val="00AF34E4"/>
    <w:rsid w:val="00AF4308"/>
    <w:rsid w:val="00B0014D"/>
    <w:rsid w:val="00B12E2E"/>
    <w:rsid w:val="00B1519C"/>
    <w:rsid w:val="00B2566A"/>
    <w:rsid w:val="00B267C2"/>
    <w:rsid w:val="00B3645B"/>
    <w:rsid w:val="00B365E8"/>
    <w:rsid w:val="00B40AE1"/>
    <w:rsid w:val="00B60227"/>
    <w:rsid w:val="00B602B9"/>
    <w:rsid w:val="00B732D4"/>
    <w:rsid w:val="00C47E68"/>
    <w:rsid w:val="00C63184"/>
    <w:rsid w:val="00C73650"/>
    <w:rsid w:val="00C845B5"/>
    <w:rsid w:val="00C93776"/>
    <w:rsid w:val="00CA6B90"/>
    <w:rsid w:val="00CB3658"/>
    <w:rsid w:val="00CB77FF"/>
    <w:rsid w:val="00CC1B54"/>
    <w:rsid w:val="00CD1B01"/>
    <w:rsid w:val="00D000F5"/>
    <w:rsid w:val="00D02C2F"/>
    <w:rsid w:val="00D10A49"/>
    <w:rsid w:val="00D4714D"/>
    <w:rsid w:val="00D5059F"/>
    <w:rsid w:val="00D56B09"/>
    <w:rsid w:val="00D70E04"/>
    <w:rsid w:val="00D7546E"/>
    <w:rsid w:val="00DA6021"/>
    <w:rsid w:val="00DF300E"/>
    <w:rsid w:val="00E02FDB"/>
    <w:rsid w:val="00E045E3"/>
    <w:rsid w:val="00E148DC"/>
    <w:rsid w:val="00E14D36"/>
    <w:rsid w:val="00E53983"/>
    <w:rsid w:val="00E6601F"/>
    <w:rsid w:val="00E91C8E"/>
    <w:rsid w:val="00E97779"/>
    <w:rsid w:val="00EB0E43"/>
    <w:rsid w:val="00ED53C9"/>
    <w:rsid w:val="00EE3E75"/>
    <w:rsid w:val="00F0242B"/>
    <w:rsid w:val="00F0295B"/>
    <w:rsid w:val="00F1664B"/>
    <w:rsid w:val="00F427DF"/>
    <w:rsid w:val="00F4668A"/>
    <w:rsid w:val="00F55D41"/>
    <w:rsid w:val="065837AF"/>
    <w:rsid w:val="07ED25AB"/>
    <w:rsid w:val="0D641097"/>
    <w:rsid w:val="12BF5FC6"/>
    <w:rsid w:val="14AB3737"/>
    <w:rsid w:val="156E2019"/>
    <w:rsid w:val="1A5C12B6"/>
    <w:rsid w:val="2199170B"/>
    <w:rsid w:val="21B76114"/>
    <w:rsid w:val="24B16DE3"/>
    <w:rsid w:val="2520405C"/>
    <w:rsid w:val="30594411"/>
    <w:rsid w:val="30610DFF"/>
    <w:rsid w:val="3E680D8F"/>
    <w:rsid w:val="41350858"/>
    <w:rsid w:val="41E551A7"/>
    <w:rsid w:val="426E4B5C"/>
    <w:rsid w:val="45765BFD"/>
    <w:rsid w:val="4D592204"/>
    <w:rsid w:val="4DB01190"/>
    <w:rsid w:val="560162DD"/>
    <w:rsid w:val="5F0D74FE"/>
    <w:rsid w:val="5F406857"/>
    <w:rsid w:val="5FC77B7B"/>
    <w:rsid w:val="6F0A3F72"/>
    <w:rsid w:val="73930EB1"/>
    <w:rsid w:val="7D7C5523"/>
    <w:rsid w:val="7DBD7DA6"/>
    <w:rsid w:val="7E7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autoRedefine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qFormat/>
    <w:uiPriority w:val="0"/>
    <w:pPr>
      <w:spacing w:line="360" w:lineRule="auto"/>
    </w:pPr>
    <w:rPr>
      <w:rFonts w:ascii="宋体" w:hAnsi="宋体"/>
      <w:color w:val="000000"/>
      <w:sz w:val="24"/>
      <w:szCs w:val="20"/>
    </w:rPr>
  </w:style>
  <w:style w:type="paragraph" w:styleId="4">
    <w:name w:val="Balloon Text"/>
    <w:basedOn w:val="1"/>
    <w:link w:val="15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autoRedefine/>
    <w:qFormat/>
    <w:uiPriority w:val="22"/>
    <w:rPr>
      <w:b/>
    </w:rPr>
  </w:style>
  <w:style w:type="character" w:styleId="12">
    <w:name w:val="Hyperlink"/>
    <w:basedOn w:val="10"/>
    <w:autoRedefine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0"/>
    <w:link w:val="6"/>
    <w:autoRedefine/>
    <w:semiHidden/>
    <w:qFormat/>
    <w:uiPriority w:val="99"/>
    <w:rPr>
      <w:sz w:val="18"/>
      <w:szCs w:val="18"/>
    </w:rPr>
  </w:style>
  <w:style w:type="character" w:customStyle="1" w:styleId="14">
    <w:name w:val="页脚 Char"/>
    <w:basedOn w:val="10"/>
    <w:link w:val="5"/>
    <w:autoRedefine/>
    <w:semiHidden/>
    <w:qFormat/>
    <w:uiPriority w:val="99"/>
    <w:rPr>
      <w:sz w:val="18"/>
      <w:szCs w:val="18"/>
    </w:rPr>
  </w:style>
  <w:style w:type="character" w:customStyle="1" w:styleId="15">
    <w:name w:val="批注框文本 Char"/>
    <w:basedOn w:val="10"/>
    <w:link w:val="4"/>
    <w:autoRedefine/>
    <w:semiHidden/>
    <w:qFormat/>
    <w:uiPriority w:val="99"/>
    <w:rPr>
      <w:sz w:val="18"/>
      <w:szCs w:val="18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3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1311</Words>
  <Characters>1390</Characters>
  <Lines>9</Lines>
  <Paragraphs>2</Paragraphs>
  <TotalTime>18</TotalTime>
  <ScaleCrop>false</ScaleCrop>
  <LinksUpToDate>false</LinksUpToDate>
  <CharactersWithSpaces>1408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2020-12-14T09:12:00Z</dcterms:created>
  <dc:creator>Administrator</dc:creator>
  <cp:lastModifiedBy>單學醫</cp:lastModifiedBy>
  <cp:lastPrinted>2024-01-04T06:19:00Z</cp:lastPrinted>
  <dcterms:modified xsi:type="dcterms:W3CDTF">2024-09-05T05:53:47Z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55742A0BA23541A4B626907691D2252E_13</vt:lpwstr>
  </property>
</Properties>
</file>