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九台区人民医院医疗器械项目院内招标公告（采购项目编号：JTQRMYYYLQX202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01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依据公平、公正、公开的原则，九台区人民医院设备科就本采购项目组织院内招标、询价。现邀请符合条件的供应商参与投标，供应商必须符合《中华人民共和国政府采购法》第二十二条之规定,具体如下：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⑴具有独立承担民事责任的能力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⑵具有良好的商业信誉和健全的财务会计制度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⑶具有履行合同所必需的设备和专业技术能力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⑷有依法缴纳税收和社会保障资金的良好记录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⑸参加政府采购活动前三年内，在经营活动中没有重大违法记录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⑹法律、行政法规规定的其他条件。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采购人可以根据医疗器械使用的特殊要求，规定供应商的特定条件。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实施细则</w:t>
      </w:r>
    </w:p>
    <w:p>
      <w:pPr>
        <w:pStyle w:val="7"/>
        <w:numPr>
          <w:ilvl w:val="0"/>
          <w:numId w:val="1"/>
        </w:numPr>
        <w:spacing w:before="0" w:beforeAutospacing="0" w:after="0" w:afterAutospacing="0"/>
        <w:ind w:firstLine="48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01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二、需求科室：</w:t>
      </w:r>
      <w:r>
        <w:rPr>
          <w:rFonts w:hint="eastAsia" w:cs="宋体"/>
          <w:sz w:val="28"/>
          <w:szCs w:val="28"/>
          <w:lang w:eastAsia="zh-CN"/>
        </w:rPr>
        <w:t>检验科</w:t>
      </w:r>
    </w:p>
    <w:p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三、采购项目名称：</w:t>
      </w:r>
      <w:r>
        <w:rPr>
          <w:rFonts w:hint="eastAsia" w:cs="宋体"/>
          <w:sz w:val="28"/>
          <w:szCs w:val="28"/>
          <w:lang w:eastAsia="zh-CN"/>
        </w:rPr>
        <w:t>第三方检验业务</w:t>
      </w:r>
    </w:p>
    <w:p>
      <w:pPr>
        <w:pStyle w:val="7"/>
        <w:numPr>
          <w:ilvl w:val="0"/>
          <w:numId w:val="2"/>
        </w:numPr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业务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明细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丙型肝炎病毒(HCV-RNA)定量</w:t>
      </w:r>
      <w:r>
        <w:rPr>
          <w:rFonts w:hint="eastAsia" w:ascii="宋体" w:hAnsi="宋体" w:eastAsia="宋体" w:cs="宋体"/>
          <w:sz w:val="21"/>
          <w:szCs w:val="21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高灵敏HCV RNA检测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高灵敏HBV DNA检测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血清蛋白电泳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尿蛋白电泳分析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高血压五项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高血压三项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孕酮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激素六项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人类白细胞分化抗原B27(HLA-B27)筛查</w:t>
      </w:r>
      <w:r>
        <w:rPr>
          <w:rFonts w:hint="eastAsia" w:ascii="宋体" w:hAnsi="宋体" w:eastAsia="宋体" w:cs="宋体"/>
          <w:sz w:val="21"/>
          <w:szCs w:val="21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骨髓组织活检检查与诊断</w:t>
      </w:r>
      <w:r>
        <w:rPr>
          <w:rFonts w:hint="eastAsia" w:ascii="宋体" w:hAnsi="宋体" w:eastAsia="宋体" w:cs="宋体"/>
          <w:sz w:val="21"/>
          <w:szCs w:val="21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微量元素五项(锌铁铜镁钙)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微量元素六项(锌铁铜镁钙铅)</w:t>
      </w:r>
      <w:r>
        <w:rPr>
          <w:rFonts w:hint="eastAsia" w:ascii="宋体" w:hAnsi="宋体" w:eastAsia="宋体" w:cs="宋体"/>
          <w:sz w:val="21"/>
          <w:szCs w:val="21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微量元素八项(锌铁铜镁钙铅钴锰）</w:t>
      </w:r>
      <w:r>
        <w:rPr>
          <w:rFonts w:hint="eastAsia" w:ascii="宋体" w:hAnsi="宋体" w:eastAsia="宋体" w:cs="宋体"/>
          <w:sz w:val="21"/>
          <w:szCs w:val="21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幽门螺旋杆菌抗体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分型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脂溶性维生素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水溶性维生素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脱落细胞检测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总前列腺特异性抗体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部分前列腺特异性抗体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附睾蛋白4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糖类抗原72-4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糖类抗原50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特异性过敏原20项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胰岛素释放实验（空腹）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胰岛素释放实验（餐后1小时）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胰岛素释放实验（餐后2小时）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C-肽释放实验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垂体五项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垂体泌乳素或泌乳素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带状疱疹病毒—IGG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带状疱疹病毒—IGM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EB病毒DNA定性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EB病毒五项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肝纤四项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骨髓涂片检查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骨型碱性磷酸酶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柯萨奇病毒抗体两项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贫血三项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生长激素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维生素B12、叶酸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肾素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血管紧张素II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醛固酮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促肾上腺皮质激素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皮质醇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甲状腺旁腺激素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血清维生素A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血清羟基维生素D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血清维生素--E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结核杆菌DNA定性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手足口病两项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真菌-B-D葡聚糖检测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血培养（厌氧）+药敏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抗核抗体系列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铁系列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转铁蛋白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铁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铜蓝蛋白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24h尿免疫球蛋白轻链定量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血清轻链组合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血清免疫固定电泳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尿免疫固定电泳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高血压用药基因检测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硝酸甘油用药基因检测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他汀类用药基因检测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阿司匹林用药基因检测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氯吡格雷用药基因检测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华法林用药基因检测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氯硝西泮药物浓度测定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苯巴比妥药物浓度测定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丙戊酸药物浓度测定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卡马西平药物浓度测定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奥卡西平药物浓度测定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羟卡马西平药物浓度测定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碳酸锂药物浓度测定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托吡酯药物浓度测定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拉莫三嗪药物浓度测定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左乙拉西坦药物浓度测定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苯妥英(钠）药物浓度测定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多奈哌齐药物浓度测定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美金刚药物浓度测定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卡巴拉汀药物浓度测定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普拉克索药物浓度测定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左旋多巴药物浓度测定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他克莫司（FK506）药物浓度测定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环孢霉素药物浓度测定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西罗莫司(雷帕霉素）药物浓度测定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霉酚酸药物浓度测定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霉酚酸-葡萄糖醛酸药物浓度测定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霉酚酸-酰基-β-葡糖醛酸药物浓度测定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阿司匹林（乙酰水杨酸）药物浓度测定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水杨酸药物浓度测定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氯吡格雷药物浓度测定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氯吡格雷羧酸代谢物药物浓度测定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氯吡格雷硫醇代谢物药物浓度测定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替格瑞洛药物浓度测定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去羟乙氧基替格瑞洛药物浓度测定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达比加群药物浓度测定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利伐沙班药物浓度测定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阿哌沙班药物浓度测定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地高辛药物浓度测定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阿托伐他汀药物浓度测定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邻羟基阿托伐他汀药物浓度测定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对羟基阿托伐他汀药物浓度测定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瑞舒伐他汀药物浓度测定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中枢神经特异蛋白(S100)检测</w:t>
      </w:r>
    </w:p>
    <w:p>
      <w:pPr>
        <w:pStyle w:val="7"/>
        <w:numPr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7"/>
        <w:numPr>
          <w:ilvl w:val="0"/>
          <w:numId w:val="2"/>
        </w:numPr>
        <w:spacing w:before="0" w:beforeAutospacing="0" w:after="0" w:afterAutospacing="0"/>
        <w:ind w:left="0" w:leftChars="0" w:firstLine="48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eastAsia="zh-CN"/>
        </w:rPr>
        <w:t>单项检测金额不得超过</w:t>
      </w:r>
      <w:r>
        <w:rPr>
          <w:rFonts w:hint="eastAsia" w:ascii="宋体" w:hAnsi="宋体" w:eastAsia="宋体" w:cs="宋体"/>
          <w:sz w:val="28"/>
          <w:szCs w:val="28"/>
        </w:rPr>
        <w:t>招标方执行的吉林省</w:t>
      </w:r>
      <w:r>
        <w:rPr>
          <w:rFonts w:hint="eastAsia" w:cs="宋体"/>
          <w:sz w:val="28"/>
          <w:szCs w:val="28"/>
          <w:lang w:eastAsia="zh-CN"/>
        </w:rPr>
        <w:t>县级医院检验收费</w:t>
      </w:r>
      <w:r>
        <w:rPr>
          <w:rFonts w:hint="eastAsia" w:ascii="宋体" w:hAnsi="宋体" w:eastAsia="宋体" w:cs="宋体"/>
          <w:sz w:val="28"/>
          <w:szCs w:val="28"/>
        </w:rPr>
        <w:t>标准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六</w:t>
      </w:r>
      <w:r>
        <w:rPr>
          <w:rFonts w:hint="eastAsia" w:ascii="宋体" w:hAnsi="宋体" w:eastAsia="宋体" w:cs="宋体"/>
          <w:sz w:val="28"/>
          <w:szCs w:val="28"/>
        </w:rPr>
        <w:t>、投标供应商报名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所需材料</w:t>
      </w:r>
      <w:r>
        <w:rPr>
          <w:rFonts w:hint="eastAsia" w:ascii="宋体" w:hAnsi="宋体" w:eastAsia="宋体" w:cs="宋体"/>
          <w:sz w:val="28"/>
          <w:szCs w:val="28"/>
        </w:rPr>
        <w:t>: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（1）供应商《营业执照》（三证合一），代理人需要法人出具授权函。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（2）医疗器械注册证（如无医疗器械注册证，出具不属于医疗器械管理范畴的政府官方的声明）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（3）生产厂家或一级代理商的授权或者证明产品合法来源的相关材料，授权及相关证明在有效期内，不得过期。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（4）设备及配套使用耗材必需符合国家相关规定，专机专用，并提供配套耗材清单以及耗材使用范围佐证文件</w:t>
      </w:r>
      <w:r>
        <w:rPr>
          <w:rFonts w:hint="eastAsia" w:cs="宋体"/>
          <w:sz w:val="28"/>
          <w:szCs w:val="28"/>
          <w:lang w:val="en-US" w:eastAsia="zh-CN"/>
        </w:rPr>
        <w:t>,填写附件中配套耗材明细表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）提供国家企业信用信息公示系统网站的基础信息截图（包含营业执照信息、股东及出资信息、主要人员信息），3年内在经营活动中没有重大违法记录的书面声明函。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（6）具备法律、行政法规规定的供应商资质及证明材料。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七、</w:t>
      </w:r>
      <w:r>
        <w:rPr>
          <w:rFonts w:hint="eastAsia" w:ascii="宋体" w:hAnsi="宋体" w:eastAsia="宋体" w:cs="宋体"/>
          <w:sz w:val="28"/>
          <w:szCs w:val="28"/>
        </w:rPr>
        <w:t>获取采购文件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日，每天上午9:30至11:30，下午13:30至16:30（北京时间，法定节假日除外）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2.方式：现场获取。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八</w:t>
      </w:r>
      <w:r>
        <w:rPr>
          <w:rFonts w:hint="eastAsia" w:ascii="宋体" w:hAnsi="宋体" w:eastAsia="宋体" w:cs="宋体"/>
          <w:sz w:val="28"/>
          <w:szCs w:val="28"/>
        </w:rPr>
        <w:t>、提交响应文件截止时间、开标时间和地点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1.响应文件递交的截止时间参照响应开标时间要求。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九</w:t>
      </w:r>
      <w:r>
        <w:rPr>
          <w:rFonts w:hint="eastAsia" w:ascii="宋体" w:hAnsi="宋体" w:eastAsia="宋体" w:cs="宋体"/>
          <w:sz w:val="28"/>
          <w:szCs w:val="28"/>
        </w:rPr>
        <w:t>、公告期限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tabs>
          <w:tab w:val="left" w:pos="1331"/>
        </w:tabs>
        <w:bidi w:val="0"/>
        <w:jc w:val="left"/>
        <w:rPr>
          <w:rFonts w:hint="eastAsia"/>
          <w:lang w:eastAsia="zh-CN"/>
        </w:rPr>
      </w:pPr>
    </w:p>
    <w:p>
      <w:pPr>
        <w:pStyle w:val="17"/>
        <w:spacing w:line="360" w:lineRule="auto"/>
        <w:ind w:firstLine="422" w:firstLineChars="200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ind w:firstLine="210" w:firstLineChars="100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  <w:p>
            <w:pPr>
              <w:pStyle w:val="2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/>
                <w:bCs/>
                <w:color w:val="auto"/>
                <w:sz w:val="21"/>
                <w:szCs w:val="21"/>
              </w:rPr>
              <w:t>(填写报名文件发送当天的日期)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bookmarkStart w:id="0" w:name="_GoBack"/>
            <w:bookmarkEnd w:id="0"/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>
      <w:pPr>
        <w:tabs>
          <w:tab w:val="left" w:pos="1331"/>
        </w:tabs>
        <w:bidi w:val="0"/>
        <w:jc w:val="left"/>
        <w:rPr>
          <w:rFonts w:hint="eastAsia"/>
          <w:lang w:eastAsia="zh-CN"/>
        </w:rPr>
      </w:pPr>
    </w:p>
    <w:sectPr>
      <w:head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7A"/>
    <w:family w:val="swiss"/>
    <w:pitch w:val="default"/>
    <w:sig w:usb0="80000287" w:usb1="280F3C52" w:usb2="00000016" w:usb3="00000000" w:csb0="0004001F" w:csb1="00000000"/>
  </w:font>
  <w:font w:name="方正正粗黑简体">
    <w:altName w:val="宋体"/>
    <w:panose1 w:val="02000000000000000000"/>
    <w:charset w:val="86"/>
    <w:family w:val="auto"/>
    <w:pitch w:val="default"/>
    <w:sig w:usb0="00000000" w:usb1="00000000" w:usb2="00000010" w:usb3="00000000" w:csb0="00040000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CDA826"/>
    <w:multiLevelType w:val="singleLevel"/>
    <w:tmpl w:val="A7CDA82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662D5A8"/>
    <w:multiLevelType w:val="singleLevel"/>
    <w:tmpl w:val="0662D5A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BA7DA5B"/>
    <w:multiLevelType w:val="singleLevel"/>
    <w:tmpl w:val="7BA7DA5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21B76114"/>
    <w:rsid w:val="24B16DE3"/>
    <w:rsid w:val="2520405C"/>
    <w:rsid w:val="3E680D8F"/>
    <w:rsid w:val="41350858"/>
    <w:rsid w:val="426E4B5C"/>
    <w:rsid w:val="5F0D74FE"/>
    <w:rsid w:val="6F0A3F72"/>
    <w:rsid w:val="73930EB1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1158</Words>
  <Characters>1297</Characters>
  <Lines>9</Lines>
  <Paragraphs>2</Paragraphs>
  <TotalTime>3</TotalTime>
  <ScaleCrop>false</ScaleCrop>
  <LinksUpToDate>false</LinksUpToDate>
  <CharactersWithSpaces>1311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2024-01-04T06:19:58Z</cp:lastPrinted>
  <dcterms:modified xsi:type="dcterms:W3CDTF">2024-01-05T10:04:13Z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55742A0BA23541A4B626907691D2252E_13</vt:lpwstr>
  </property>
</Properties>
</file>