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105"/>
        <w:jc w:val="right"/>
        <w:rPr>
          <w:rFonts w:asciiTheme="majorEastAsia" w:hAnsiTheme="majorEastAsia" w:eastAsiaTheme="majorEastAsia"/>
          <w:b/>
          <w:color w:val="080373"/>
          <w:spacing w:val="40"/>
          <w:w w:val="66"/>
          <w:sz w:val="60"/>
          <w:szCs w:val="60"/>
        </w:rPr>
      </w:pPr>
      <w:r>
        <w:rPr>
          <w:rFonts w:hint="eastAsia" w:asciiTheme="majorEastAsia" w:hAnsiTheme="majorEastAsia" w:eastAsiaTheme="majorEastAsia"/>
          <w:b/>
          <w:color w:val="080373"/>
          <w:spacing w:val="40"/>
          <w:w w:val="66"/>
          <w:sz w:val="60"/>
          <w:szCs w:val="60"/>
        </w:rPr>
        <w:t>长春市九台区人民医院</w:t>
      </w:r>
    </w:p>
    <w:p>
      <w:pPr>
        <w:ind w:right="105"/>
        <w:jc w:val="right"/>
        <w:rPr>
          <w:rFonts w:asciiTheme="majorEastAsia" w:hAnsiTheme="majorEastAsia" w:eastAsiaTheme="majorEastAsia"/>
          <w:b/>
          <w:color w:val="080373"/>
          <w:spacing w:val="40"/>
          <w:w w:val="66"/>
          <w:sz w:val="32"/>
          <w:szCs w:val="32"/>
        </w:rPr>
      </w:pPr>
      <w:r>
        <w:rPr>
          <w:rFonts w:hint="eastAsia" w:asciiTheme="majorEastAsia" w:hAnsiTheme="majorEastAsia" w:eastAsiaTheme="majorEastAsia"/>
          <w:b/>
          <w:color w:val="080373"/>
          <w:spacing w:val="40"/>
          <w:w w:val="66"/>
          <w:sz w:val="32"/>
          <w:szCs w:val="32"/>
        </w:rPr>
        <w:t>医保电子凭证等六项接口项目</w:t>
      </w:r>
    </w:p>
    <w:p>
      <w:pPr>
        <w:ind w:right="105"/>
        <w:jc w:val="right"/>
        <w:rPr>
          <w:rFonts w:hint="default" w:asciiTheme="majorEastAsia" w:hAnsiTheme="majorEastAsia" w:eastAsiaTheme="majorEastAsia"/>
          <w:b/>
          <w:color w:val="0070C0"/>
          <w:spacing w:val="40"/>
          <w:w w:val="66"/>
          <w:sz w:val="32"/>
          <w:szCs w:val="32"/>
          <w:lang w:val="en-US" w:eastAsia="zh-CN"/>
        </w:rPr>
      </w:pPr>
      <w:bookmarkStart w:id="0" w:name="_GoBack"/>
      <w:bookmarkEnd w:id="0"/>
      <w:r>
        <w:rPr>
          <w:rFonts w:hint="eastAsia" w:asciiTheme="majorEastAsia" w:hAnsiTheme="majorEastAsia" w:eastAsiaTheme="majorEastAsia"/>
          <w:b/>
          <w:color w:val="080373"/>
          <w:spacing w:val="40"/>
          <w:w w:val="66"/>
          <w:sz w:val="32"/>
          <w:szCs w:val="32"/>
          <w:lang w:val="en-US" w:eastAsia="zh-CN"/>
        </w:rPr>
        <w:t>单一来源采购</w:t>
      </w:r>
      <w:r>
        <w:rPr>
          <w:rFonts w:hint="eastAsia" w:asciiTheme="majorEastAsia" w:hAnsiTheme="majorEastAsia" w:eastAsiaTheme="majorEastAsia"/>
          <w:b/>
          <w:color w:val="080373"/>
          <w:spacing w:val="40"/>
          <w:w w:val="66"/>
          <w:sz w:val="32"/>
          <w:szCs w:val="32"/>
        </w:rPr>
        <w:t>招标公告</w:t>
      </w:r>
    </w:p>
    <w:p>
      <w:pPr>
        <w:ind w:right="1025"/>
        <w:jc w:val="center"/>
        <w:rPr>
          <w:rFonts w:eastAsia="黑体"/>
          <w:b/>
          <w:color w:val="333399"/>
          <w:spacing w:val="40"/>
          <w:w w:val="66"/>
          <w:sz w:val="60"/>
          <w:szCs w:val="60"/>
        </w:rPr>
      </w:pPr>
    </w:p>
    <w:p>
      <w:pPr>
        <w:jc w:val="center"/>
        <w:rPr>
          <w:rFonts w:eastAsia="黑体"/>
          <w:b/>
          <w:color w:val="333399"/>
          <w:spacing w:val="40"/>
          <w:w w:val="66"/>
          <w:sz w:val="15"/>
          <w:szCs w:val="15"/>
        </w:rPr>
      </w:pPr>
      <w:r>
        <w:rPr>
          <w:rFonts w:eastAsia="黑体"/>
          <w:b/>
          <w:color w:val="333399"/>
          <w:spacing w:val="40"/>
          <w:w w:val="66"/>
          <w:sz w:val="56"/>
          <w:szCs w:val="56"/>
        </w:rPr>
        <w:t xml:space="preserve">            </w:t>
      </w:r>
    </w:p>
    <w:p>
      <w:pPr>
        <w:jc w:val="center"/>
        <w:rPr>
          <w:rFonts w:ascii="黑体" w:eastAsia="黑体"/>
          <w:b/>
          <w:color w:val="7030A0"/>
          <w:spacing w:val="40"/>
          <w:w w:val="66"/>
          <w:sz w:val="32"/>
          <w:szCs w:val="32"/>
        </w:rPr>
      </w:pPr>
      <w:r>
        <w:rPr>
          <w:rFonts w:hint="eastAsia" w:ascii="黑体" w:eastAsia="黑体"/>
          <w:b/>
          <w:color w:val="7030A0"/>
          <w:spacing w:val="40"/>
          <w:w w:val="66"/>
          <w:sz w:val="32"/>
          <w:szCs w:val="32"/>
          <w:highlight w:val="yellow"/>
        </w:rPr>
        <w:t>（项目编号：JTQRMYYWLXXK2024001）</w:t>
      </w:r>
    </w:p>
    <w:p>
      <w:pPr>
        <w:rPr>
          <w:color w:val="333399"/>
          <w:sz w:val="40"/>
        </w:rPr>
      </w:pPr>
    </w:p>
    <w:p>
      <w:pPr>
        <w:ind w:firstLine="600" w:firstLineChars="200"/>
        <w:rPr>
          <w:rFonts w:ascii="黑体" w:eastAsia="黑体"/>
          <w:color w:val="7030A0"/>
          <w:sz w:val="30"/>
          <w:szCs w:val="30"/>
        </w:rPr>
      </w:pPr>
      <w:r>
        <w:rPr>
          <w:rFonts w:hint="eastAsia" w:ascii="黑体" w:eastAsia="黑体"/>
          <w:color w:val="7030A0"/>
          <w:sz w:val="30"/>
          <w:szCs w:val="30"/>
        </w:rPr>
        <w:t>长春市九台区人民医院网络信息中心，经医院设备采购管理委员会审批，对医保接口改造项目进行院内招标采购，欢迎符合投标人资格要求的单位参加本次采购活动。</w:t>
      </w:r>
    </w:p>
    <w:p>
      <w:pPr>
        <w:rPr>
          <w:color w:val="333399"/>
          <w:sz w:val="36"/>
        </w:rPr>
      </w:pPr>
    </w:p>
    <w:p>
      <w:pPr>
        <w:rPr>
          <w:color w:val="333399"/>
          <w:sz w:val="36"/>
        </w:rPr>
      </w:pPr>
    </w:p>
    <w:p>
      <w:pPr>
        <w:rPr>
          <w:color w:val="333399"/>
          <w:sz w:val="36"/>
        </w:rPr>
      </w:pPr>
    </w:p>
    <w:p>
      <w:pPr>
        <w:rPr>
          <w:color w:val="333399"/>
          <w:sz w:val="36"/>
        </w:rPr>
      </w:pPr>
    </w:p>
    <w:p>
      <w:pPr>
        <w:rPr>
          <w:color w:val="333399"/>
          <w:sz w:val="36"/>
        </w:rPr>
      </w:pPr>
    </w:p>
    <w:p>
      <w:pPr>
        <w:ind w:firstLine="3135" w:firstLineChars="1493"/>
        <w:rPr>
          <w:rFonts w:eastAsia="黑体"/>
          <w:color w:val="333399"/>
          <w:spacing w:val="20"/>
          <w:w w:val="66"/>
          <w:sz w:val="44"/>
          <w:szCs w:val="44"/>
        </w:rPr>
      </w:pPr>
      <w:r>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876300" cy="771525"/>
            <wp:effectExtent l="0" t="0" r="0" b="9525"/>
            <wp:wrapSquare wrapText="bothSides"/>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876300" cy="771525"/>
                    </a:xfrm>
                    <a:prstGeom prst="rect">
                      <a:avLst/>
                    </a:prstGeom>
                  </pic:spPr>
                </pic:pic>
              </a:graphicData>
            </a:graphic>
          </wp:anchor>
        </w:drawing>
      </w:r>
      <w:r>
        <w:rPr>
          <w:rFonts w:hint="eastAsia" w:eastAsia="黑体"/>
          <w:color w:val="333399"/>
          <w:spacing w:val="20"/>
          <w:w w:val="66"/>
          <w:sz w:val="44"/>
          <w:szCs w:val="44"/>
        </w:rPr>
        <w:t xml:space="preserve">   九台区人民医院</w:t>
      </w:r>
    </w:p>
    <w:p>
      <w:pPr>
        <w:tabs>
          <w:tab w:val="left" w:pos="3281"/>
          <w:tab w:val="center" w:pos="4711"/>
        </w:tabs>
        <w:jc w:val="center"/>
        <w:rPr>
          <w:rFonts w:eastAsia="仿宋_GB2312"/>
          <w:b/>
          <w:bCs/>
          <w:color w:val="333399"/>
          <w:kern w:val="0"/>
          <w:sz w:val="44"/>
          <w:szCs w:val="44"/>
        </w:rPr>
      </w:pPr>
    </w:p>
    <w:p>
      <w:pPr>
        <w:tabs>
          <w:tab w:val="left" w:pos="3281"/>
          <w:tab w:val="center" w:pos="4711"/>
        </w:tabs>
        <w:jc w:val="center"/>
        <w:rPr>
          <w:rFonts w:eastAsia="仿宋_GB2312"/>
          <w:b/>
          <w:bCs/>
          <w:color w:val="333399"/>
          <w:kern w:val="0"/>
          <w:sz w:val="44"/>
          <w:szCs w:val="44"/>
        </w:rPr>
      </w:pPr>
      <w:r>
        <w:rPr>
          <w:rFonts w:hint="eastAsia" w:eastAsia="仿宋_GB2312"/>
          <w:b/>
          <w:bCs/>
          <w:color w:val="333399"/>
          <w:kern w:val="0"/>
          <w:sz w:val="44"/>
          <w:szCs w:val="44"/>
        </w:rPr>
        <w:t xml:space="preserve">                </w:t>
      </w:r>
      <w:r>
        <w:rPr>
          <w:rFonts w:hint="eastAsia" w:eastAsia="仿宋_GB2312"/>
          <w:b/>
          <w:bCs/>
          <w:color w:val="333399"/>
          <w:kern w:val="0"/>
          <w:sz w:val="44"/>
          <w:szCs w:val="44"/>
          <w:highlight w:val="yellow"/>
        </w:rPr>
        <w:t>2024.01</w:t>
      </w: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hint="eastAsia" w:ascii="宋体" w:hAnsi="宋体"/>
          <w:b/>
          <w:color w:val="000000"/>
          <w:sz w:val="28"/>
          <w:szCs w:val="28"/>
        </w:rPr>
      </w:pPr>
    </w:p>
    <w:p>
      <w:pPr>
        <w:adjustRightInd w:val="0"/>
        <w:snapToGrid w:val="0"/>
        <w:spacing w:line="276" w:lineRule="auto"/>
        <w:jc w:val="center"/>
        <w:rPr>
          <w:rFonts w:hint="eastAsia" w:ascii="宋体" w:hAnsi="宋体"/>
          <w:b/>
          <w:color w:val="000000"/>
          <w:sz w:val="28"/>
          <w:szCs w:val="28"/>
        </w:rPr>
      </w:pPr>
    </w:p>
    <w:p>
      <w:pPr>
        <w:adjustRightInd w:val="0"/>
        <w:snapToGrid w:val="0"/>
        <w:spacing w:line="276" w:lineRule="auto"/>
        <w:jc w:val="center"/>
        <w:rPr>
          <w:rFonts w:hint="eastAsia" w:ascii="宋体" w:hAnsi="宋体"/>
          <w:b/>
          <w:color w:val="000000"/>
          <w:sz w:val="28"/>
          <w:szCs w:val="28"/>
        </w:rPr>
      </w:pPr>
    </w:p>
    <w:p>
      <w:pPr>
        <w:adjustRightInd w:val="0"/>
        <w:snapToGrid w:val="0"/>
        <w:spacing w:line="276" w:lineRule="auto"/>
        <w:jc w:val="center"/>
        <w:rPr>
          <w:rFonts w:hint="eastAsia" w:ascii="宋体" w:hAnsi="宋体"/>
          <w:b/>
          <w:color w:val="000000"/>
          <w:sz w:val="28"/>
          <w:szCs w:val="28"/>
        </w:rPr>
      </w:pPr>
    </w:p>
    <w:p>
      <w:pPr>
        <w:adjustRightInd w:val="0"/>
        <w:snapToGrid w:val="0"/>
        <w:spacing w:line="276" w:lineRule="auto"/>
        <w:jc w:val="center"/>
        <w:rPr>
          <w:rFonts w:ascii="宋体" w:hAnsi="宋体"/>
          <w:b/>
          <w:color w:val="000000"/>
          <w:sz w:val="28"/>
          <w:szCs w:val="28"/>
        </w:rPr>
      </w:pPr>
      <w:r>
        <w:rPr>
          <w:rFonts w:hint="eastAsia" w:ascii="宋体" w:hAnsi="宋体"/>
          <w:b/>
          <w:color w:val="000000"/>
          <w:sz w:val="28"/>
          <w:szCs w:val="28"/>
        </w:rPr>
        <w:t>招标公告</w:t>
      </w:r>
    </w:p>
    <w:p>
      <w:pPr>
        <w:wordWrap w:val="0"/>
        <w:spacing w:line="276" w:lineRule="auto"/>
        <w:jc w:val="right"/>
        <w:rPr>
          <w:rFonts w:ascii="宋体" w:hAnsi="宋体"/>
          <w:color w:val="FF0000"/>
          <w:szCs w:val="21"/>
        </w:rPr>
      </w:pPr>
      <w:r>
        <w:rPr>
          <w:rFonts w:hint="eastAsia" w:ascii="宋体" w:hAnsi="宋体"/>
          <w:b/>
          <w:bCs/>
          <w:color w:val="FF0000"/>
          <w:szCs w:val="21"/>
          <w:highlight w:val="yellow"/>
        </w:rPr>
        <w:t>招标项目编号：</w:t>
      </w:r>
      <w:r>
        <w:rPr>
          <w:rFonts w:hint="eastAsia" w:ascii="黑体" w:eastAsia="黑体"/>
          <w:b/>
          <w:color w:val="7030A0"/>
          <w:spacing w:val="40"/>
          <w:w w:val="66"/>
          <w:sz w:val="32"/>
          <w:szCs w:val="32"/>
          <w:highlight w:val="yellow"/>
        </w:rPr>
        <w:t>JTQRMYYWLXXK2024001</w:t>
      </w:r>
      <w:r>
        <w:rPr>
          <w:rFonts w:ascii="宋体" w:hAnsi="宋体"/>
          <w:b/>
          <w:bCs/>
          <w:color w:val="FF0000"/>
          <w:szCs w:val="21"/>
          <w:lang w:eastAsia="zh-TW"/>
        </w:rPr>
        <w:t xml:space="preserve">       </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1.0</w:t>
      </w:r>
      <w:r>
        <w:rPr>
          <w:rFonts w:hint="eastAsia" w:ascii="宋体" w:hAnsi="宋体" w:cs="宋体"/>
          <w:b/>
          <w:sz w:val="28"/>
          <w:szCs w:val="28"/>
        </w:rPr>
        <w:t>采购方式</w:t>
      </w:r>
    </w:p>
    <w:p>
      <w:pPr>
        <w:ind w:firstLine="640" w:firstLineChars="200"/>
        <w:rPr>
          <w:rFonts w:hint="eastAsia" w:ascii="华文仿宋" w:hAnsi="华文仿宋" w:eastAsia="华文仿宋"/>
          <w:b/>
          <w:sz w:val="28"/>
          <w:szCs w:val="28"/>
        </w:rPr>
      </w:pPr>
      <w:r>
        <w:rPr>
          <w:rFonts w:hint="eastAsia" w:asciiTheme="minorEastAsia" w:hAnsiTheme="minorEastAsia" w:eastAsiaTheme="minorEastAsia"/>
          <w:bCs/>
          <w:sz w:val="32"/>
          <w:szCs w:val="32"/>
        </w:rPr>
        <w:t>单一来源（</w:t>
      </w:r>
      <w:r>
        <w:rPr>
          <w:rFonts w:hint="eastAsia"/>
          <w:sz w:val="28"/>
          <w:szCs w:val="28"/>
        </w:rPr>
        <w:t>由于项目相关接口改造均需要由我院目前所使用的HIS系统厂商（浙江联众）进行改造，且浙江联众公司不接受与其他厂商共同开发改造。考虑系统匹配性以及工作的便捷性，特针对此项目选择单一来源进方式采购。</w:t>
      </w:r>
      <w:r>
        <w:rPr>
          <w:rFonts w:hint="eastAsia" w:asciiTheme="minorEastAsia" w:hAnsiTheme="minorEastAsia" w:eastAsiaTheme="minorEastAsia"/>
          <w:bCs/>
          <w:sz w:val="32"/>
          <w:szCs w:val="32"/>
        </w:rPr>
        <w:t>）</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1.1招标条件</w:t>
      </w:r>
    </w:p>
    <w:p>
      <w:pPr>
        <w:pStyle w:val="8"/>
        <w:spacing w:before="0" w:beforeAutospacing="0" w:after="0" w:afterAutospacing="0"/>
        <w:ind w:firstLine="560" w:firstLineChars="200"/>
        <w:rPr>
          <w:rFonts w:hint="eastAsia" w:ascii="华文仿宋" w:hAnsi="华文仿宋" w:eastAsia="华文仿宋" w:cs="Times New Roman"/>
          <w:bCs/>
          <w:kern w:val="2"/>
          <w:sz w:val="28"/>
          <w:szCs w:val="28"/>
        </w:rPr>
      </w:pPr>
      <w:r>
        <w:rPr>
          <w:rFonts w:hint="eastAsia" w:ascii="华文仿宋" w:hAnsi="华文仿宋" w:eastAsia="华文仿宋" w:cs="Times New Roman"/>
          <w:bCs/>
          <w:kern w:val="2"/>
          <w:sz w:val="28"/>
          <w:szCs w:val="28"/>
        </w:rPr>
        <w:t>本项目经医院设备采购管理委员会审批，项目已具备招标条件，现对本项目公开招标。</w:t>
      </w:r>
    </w:p>
    <w:p>
      <w:pPr>
        <w:pStyle w:val="8"/>
        <w:spacing w:before="0" w:beforeAutospacing="0" w:after="0" w:afterAutospacing="0"/>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依据公平、公正、公开的原则，九台区人民医院网络信息科就本采购项目组织院内招标、询价。现邀请符合条件的供应商参与投标，供应商必须符合《中华人民共和国政府采购法》第二十二条之规定,具体如下：</w:t>
      </w:r>
    </w:p>
    <w:p>
      <w:pPr>
        <w:pStyle w:val="8"/>
        <w:spacing w:before="0" w:beforeAutospacing="0" w:after="0" w:afterAutospacing="0"/>
        <w:ind w:firstLine="48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⑴具有独立承担民事责任的能力</w:t>
      </w:r>
    </w:p>
    <w:p>
      <w:pPr>
        <w:pStyle w:val="8"/>
        <w:spacing w:before="0" w:beforeAutospacing="0" w:after="0" w:afterAutospacing="0"/>
        <w:ind w:firstLine="48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⑵具有良好的商业信誉和健全的财务会计制度</w:t>
      </w:r>
    </w:p>
    <w:p>
      <w:pPr>
        <w:pStyle w:val="8"/>
        <w:spacing w:before="0" w:beforeAutospacing="0" w:after="0" w:afterAutospacing="0"/>
        <w:ind w:firstLine="48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⑶具有履行合同所必需的设备和专业技术能力</w:t>
      </w:r>
    </w:p>
    <w:p>
      <w:pPr>
        <w:pStyle w:val="8"/>
        <w:spacing w:before="0" w:beforeAutospacing="0" w:after="0" w:afterAutospacing="0"/>
        <w:ind w:firstLine="48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⑷有依法缴纳税收和社会保障资金的良好记录</w:t>
      </w:r>
    </w:p>
    <w:p>
      <w:pPr>
        <w:pStyle w:val="8"/>
        <w:spacing w:before="0" w:beforeAutospacing="0" w:after="0" w:afterAutospacing="0"/>
        <w:ind w:firstLine="48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⑸参加政府采购活动前三年内，在经营活动中没有重大违法记录</w:t>
      </w:r>
    </w:p>
    <w:p>
      <w:pPr>
        <w:pStyle w:val="8"/>
        <w:spacing w:before="0" w:beforeAutospacing="0" w:after="0" w:afterAutospacing="0"/>
        <w:ind w:firstLine="480"/>
        <w:rPr>
          <w:rFonts w:hint="eastAsia" w:asciiTheme="minorEastAsia" w:hAnsiTheme="minorEastAsia" w:eastAsiaTheme="minorEastAsia"/>
          <w:sz w:val="32"/>
          <w:szCs w:val="32"/>
        </w:rPr>
      </w:pPr>
      <w:r>
        <w:rPr>
          <w:rFonts w:hint="eastAsia" w:asciiTheme="minorEastAsia" w:hAnsiTheme="minorEastAsia" w:eastAsiaTheme="minorEastAsia"/>
          <w:sz w:val="32"/>
          <w:szCs w:val="32"/>
        </w:rPr>
        <w:t>⑹法律、行政法规规定的其他条件。</w:t>
      </w:r>
    </w:p>
    <w:p>
      <w:pPr>
        <w:pStyle w:val="8"/>
        <w:spacing w:before="0" w:beforeAutospacing="0" w:after="0" w:afterAutospacing="0"/>
        <w:rPr>
          <w:rFonts w:hint="eastAsia" w:asciiTheme="minorEastAsia" w:hAnsiTheme="minorEastAsia" w:eastAsiaTheme="minorEastAsia"/>
          <w:sz w:val="32"/>
          <w:szCs w:val="32"/>
        </w:rPr>
      </w:pPr>
    </w:p>
    <w:p>
      <w:pPr>
        <w:spacing w:line="276" w:lineRule="auto"/>
        <w:rPr>
          <w:rFonts w:ascii="华文仿宋" w:hAnsi="华文仿宋" w:eastAsia="华文仿宋"/>
          <w:bCs/>
          <w:sz w:val="28"/>
          <w:szCs w:val="28"/>
        </w:rPr>
      </w:pP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1.2询价内容</w:t>
      </w:r>
    </w:p>
    <w:tbl>
      <w:tblPr>
        <w:tblStyle w:val="10"/>
        <w:tblW w:w="8940" w:type="dxa"/>
        <w:tblInd w:w="88" w:type="dxa"/>
        <w:tblLayout w:type="fixed"/>
        <w:tblCellMar>
          <w:top w:w="0" w:type="dxa"/>
          <w:left w:w="108" w:type="dxa"/>
          <w:bottom w:w="0" w:type="dxa"/>
          <w:right w:w="108" w:type="dxa"/>
        </w:tblCellMar>
      </w:tblPr>
      <w:tblGrid>
        <w:gridCol w:w="796"/>
        <w:gridCol w:w="2104"/>
        <w:gridCol w:w="4862"/>
        <w:gridCol w:w="589"/>
        <w:gridCol w:w="589"/>
      </w:tblGrid>
      <w:tr>
        <w:tblPrEx>
          <w:tblCellMar>
            <w:top w:w="0" w:type="dxa"/>
            <w:left w:w="108" w:type="dxa"/>
            <w:bottom w:w="0" w:type="dxa"/>
            <w:right w:w="108"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接口名称</w:t>
            </w: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规格及技术性能</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单位</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数量</w:t>
            </w:r>
          </w:p>
        </w:tc>
      </w:tr>
      <w:tr>
        <w:tblPrEx>
          <w:tblCellMar>
            <w:top w:w="0" w:type="dxa"/>
            <w:left w:w="108" w:type="dxa"/>
            <w:bottom w:w="0" w:type="dxa"/>
            <w:right w:w="108" w:type="dxa"/>
          </w:tblCellMar>
        </w:tblPrEx>
        <w:trPr>
          <w:trHeight w:val="1076"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ascii="宋体" w:hAnsi="宋体" w:cs="宋体"/>
                <w:b/>
                <w:bCs/>
                <w:color w:val="000000"/>
                <w:sz w:val="22"/>
                <w:szCs w:val="22"/>
              </w:rPr>
            </w:pPr>
            <w:r>
              <w:rPr>
                <w:rFonts w:hint="eastAsia" w:ascii="宋体" w:hAnsi="宋体" w:cs="宋体"/>
                <w:b/>
                <w:bCs/>
                <w:color w:val="000000"/>
                <w:sz w:val="22"/>
                <w:szCs w:val="22"/>
              </w:rPr>
              <w:t>1</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8"/>
              <w:spacing w:before="0" w:beforeAutospacing="0" w:after="0" w:afterAutospacing="0"/>
              <w:rPr>
                <w:rFonts w:ascii="华文仿宋" w:hAnsi="华文仿宋" w:eastAsia="华文仿宋" w:cs="Times New Roman"/>
                <w:bCs/>
                <w:kern w:val="2"/>
                <w:sz w:val="28"/>
                <w:szCs w:val="28"/>
              </w:rPr>
            </w:pPr>
            <w:r>
              <w:rPr>
                <w:rFonts w:hint="eastAsia" w:ascii="华文仿宋" w:hAnsi="华文仿宋" w:eastAsia="华文仿宋" w:cs="Times New Roman"/>
                <w:bCs/>
                <w:kern w:val="2"/>
                <w:sz w:val="28"/>
                <w:szCs w:val="28"/>
              </w:rPr>
              <w:t>医保移动支付</w:t>
            </w: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2"/>
                <w:szCs w:val="22"/>
              </w:rPr>
            </w:pPr>
            <w:r>
              <w:rPr>
                <w:rFonts w:ascii="宋体" w:hAnsi="宋体" w:cs="宋体"/>
                <w:sz w:val="24"/>
              </w:rPr>
              <w:t>1、支持门诊待结算信息推送给医保特定应用</w:t>
            </w:r>
            <w:r>
              <w:rPr>
                <w:rFonts w:ascii="宋体" w:hAnsi="宋体" w:cs="宋体"/>
                <w:sz w:val="24"/>
              </w:rPr>
              <w:br w:type="textWrapping"/>
            </w:r>
            <w:r>
              <w:rPr>
                <w:rFonts w:ascii="宋体" w:hAnsi="宋体" w:cs="宋体"/>
                <w:sz w:val="24"/>
              </w:rPr>
              <w:t>2、支持医保应用结算返回HIS数据</w:t>
            </w:r>
            <w:r>
              <w:rPr>
                <w:rFonts w:ascii="宋体" w:hAnsi="宋体" w:cs="宋体"/>
                <w:sz w:val="24"/>
              </w:rPr>
              <w:br w:type="textWrapping"/>
            </w:r>
            <w:r>
              <w:rPr>
                <w:rFonts w:ascii="宋体" w:hAnsi="宋体" w:cs="宋体"/>
                <w:sz w:val="24"/>
              </w:rPr>
              <w:t>3、支持医保移动支付原路退回</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1077"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sz w:val="22"/>
                <w:szCs w:val="22"/>
              </w:rPr>
              <w:t>2</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8"/>
              <w:spacing w:before="0" w:beforeAutospacing="0" w:after="0" w:afterAutospacing="0"/>
              <w:rPr>
                <w:rFonts w:ascii="华文仿宋" w:hAnsi="华文仿宋" w:eastAsia="华文仿宋" w:cs="Times New Roman"/>
                <w:bCs/>
                <w:kern w:val="2"/>
                <w:sz w:val="28"/>
                <w:szCs w:val="28"/>
              </w:rPr>
            </w:pPr>
            <w:r>
              <w:rPr>
                <w:rFonts w:hint="eastAsia" w:ascii="华文仿宋" w:hAnsi="华文仿宋" w:eastAsia="华文仿宋" w:cs="Times New Roman"/>
                <w:bCs/>
                <w:kern w:val="2"/>
                <w:sz w:val="28"/>
                <w:szCs w:val="28"/>
              </w:rPr>
              <w:t>医保电子凭证全流程</w:t>
            </w: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2"/>
                <w:szCs w:val="22"/>
              </w:rPr>
            </w:pPr>
            <w:r>
              <w:rPr>
                <w:rFonts w:ascii="宋体" w:hAnsi="宋体" w:cs="宋体"/>
                <w:sz w:val="24"/>
              </w:rPr>
              <w:t>1、支持门诊各业务流程的医保电子凭证应用（挂号、收费、医生接诊、门诊发药）</w:t>
            </w:r>
            <w:r>
              <w:rPr>
                <w:rFonts w:ascii="宋体" w:hAnsi="宋体" w:cs="宋体"/>
                <w:sz w:val="24"/>
              </w:rPr>
              <w:br w:type="textWrapping"/>
            </w:r>
            <w:r>
              <w:rPr>
                <w:rFonts w:ascii="宋体" w:hAnsi="宋体" w:cs="宋体"/>
                <w:sz w:val="24"/>
              </w:rPr>
              <w:t>2、支持住院业务各流程的医保电子凭证应用（入院登记、修改、出院结算等）</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rPr>
            </w:pPr>
            <w:r>
              <w:rPr>
                <w:rFonts w:hint="eastAsia" w:ascii="宋体" w:hAnsi="宋体" w:cs="宋体"/>
                <w:color w:val="000000"/>
                <w:sz w:val="22"/>
                <w:szCs w:val="22"/>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88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8"/>
              <w:spacing w:before="0" w:beforeAutospacing="0" w:after="0" w:afterAutospacing="0"/>
              <w:rPr>
                <w:rFonts w:ascii="华文仿宋" w:hAnsi="华文仿宋" w:eastAsia="华文仿宋" w:cs="Times New Roman"/>
                <w:bCs/>
                <w:kern w:val="2"/>
                <w:sz w:val="28"/>
                <w:szCs w:val="28"/>
              </w:rPr>
            </w:pPr>
            <w:r>
              <w:rPr>
                <w:rFonts w:hint="eastAsia" w:ascii="华文仿宋" w:hAnsi="华文仿宋" w:eastAsia="华文仿宋" w:cs="Times New Roman"/>
                <w:bCs/>
                <w:kern w:val="2"/>
                <w:sz w:val="28"/>
                <w:szCs w:val="28"/>
              </w:rPr>
              <w:t>医保先医后付</w:t>
            </w: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numPr>
                <w:ilvl w:val="0"/>
                <w:numId w:val="1"/>
              </w:numPr>
              <w:jc w:val="left"/>
              <w:textAlignment w:val="center"/>
              <w:rPr>
                <w:rFonts w:ascii="宋体" w:hAnsi="宋体" w:cs="宋体"/>
                <w:sz w:val="24"/>
              </w:rPr>
            </w:pPr>
            <w:r>
              <w:rPr>
                <w:rFonts w:ascii="宋体" w:hAnsi="宋体" w:cs="宋体"/>
                <w:sz w:val="24"/>
              </w:rPr>
              <w:t>线下部分，</w:t>
            </w:r>
          </w:p>
          <w:p>
            <w:pPr>
              <w:widowControl/>
              <w:jc w:val="left"/>
              <w:textAlignment w:val="center"/>
              <w:rPr>
                <w:rFonts w:ascii="宋体" w:hAnsi="宋体" w:cs="宋体"/>
                <w:sz w:val="24"/>
              </w:rPr>
            </w:pPr>
            <w:r>
              <w:rPr>
                <w:rFonts w:ascii="宋体" w:hAnsi="宋体" w:cs="宋体"/>
                <w:sz w:val="24"/>
              </w:rPr>
              <w:t>1.支持门诊档案管理中获取先医后付授权信息功能，</w:t>
            </w:r>
          </w:p>
          <w:p>
            <w:pPr>
              <w:widowControl/>
              <w:jc w:val="left"/>
              <w:textAlignment w:val="center"/>
              <w:rPr>
                <w:rFonts w:ascii="宋体" w:hAnsi="宋体" w:cs="宋体"/>
                <w:sz w:val="24"/>
              </w:rPr>
            </w:pPr>
            <w:r>
              <w:rPr>
                <w:rFonts w:ascii="宋体" w:hAnsi="宋体" w:cs="宋体"/>
                <w:sz w:val="24"/>
              </w:rPr>
              <w:t>2支持门诊挂号，符合先医后付条件的患者可以使用先医后付，</w:t>
            </w:r>
          </w:p>
          <w:p>
            <w:pPr>
              <w:widowControl/>
              <w:numPr>
                <w:ilvl w:val="0"/>
                <w:numId w:val="2"/>
              </w:numPr>
              <w:jc w:val="left"/>
              <w:textAlignment w:val="center"/>
              <w:rPr>
                <w:rFonts w:ascii="宋体" w:hAnsi="宋体" w:cs="宋体"/>
                <w:sz w:val="24"/>
              </w:rPr>
            </w:pPr>
            <w:r>
              <w:rPr>
                <w:rFonts w:ascii="宋体" w:hAnsi="宋体" w:cs="宋体"/>
                <w:sz w:val="24"/>
              </w:rPr>
              <w:t>支付门诊收费，符合先医后付条件的患者可以使用先医后付，</w:t>
            </w:r>
          </w:p>
          <w:p>
            <w:pPr>
              <w:widowControl/>
              <w:jc w:val="left"/>
              <w:textAlignment w:val="center"/>
              <w:rPr>
                <w:rFonts w:ascii="宋体" w:hAnsi="宋体" w:cs="宋体"/>
                <w:sz w:val="24"/>
              </w:rPr>
            </w:pPr>
            <w:r>
              <w:rPr>
                <w:rFonts w:ascii="宋体" w:hAnsi="宋体" w:cs="宋体"/>
                <w:sz w:val="24"/>
              </w:rPr>
              <w:t>4、支持门诊先医后付结算反交易。</w:t>
            </w:r>
          </w:p>
          <w:p>
            <w:pPr>
              <w:widowControl/>
              <w:jc w:val="left"/>
              <w:textAlignment w:val="center"/>
              <w:rPr>
                <w:rFonts w:ascii="宋体" w:hAnsi="宋体" w:cs="宋体"/>
                <w:sz w:val="24"/>
              </w:rPr>
            </w:pPr>
            <w:r>
              <w:rPr>
                <w:rFonts w:ascii="宋体" w:hAnsi="宋体" w:cs="宋体"/>
                <w:sz w:val="24"/>
              </w:rPr>
              <w:t>5、支持住院预缴金收取和退费使用先医后付</w:t>
            </w:r>
            <w:r>
              <w:rPr>
                <w:rFonts w:hint="eastAsia" w:ascii="宋体" w:hAnsi="宋体" w:cs="宋体"/>
                <w:sz w:val="24"/>
              </w:rPr>
              <w:t>.</w:t>
            </w:r>
          </w:p>
          <w:p>
            <w:pPr>
              <w:widowControl/>
              <w:jc w:val="left"/>
              <w:textAlignment w:val="center"/>
              <w:rPr>
                <w:rFonts w:ascii="宋体" w:hAnsi="宋体" w:cs="宋体"/>
                <w:sz w:val="24"/>
              </w:rPr>
            </w:pPr>
            <w:r>
              <w:rPr>
                <w:rFonts w:ascii="宋体" w:hAnsi="宋体" w:cs="宋体"/>
                <w:sz w:val="24"/>
              </w:rPr>
              <w:t>6</w:t>
            </w:r>
            <w:r>
              <w:rPr>
                <w:rFonts w:hint="eastAsia" w:ascii="宋体" w:hAnsi="宋体" w:cs="宋体"/>
                <w:sz w:val="24"/>
              </w:rPr>
              <w:t>、</w:t>
            </w:r>
            <w:r>
              <w:rPr>
                <w:rFonts w:ascii="宋体" w:hAnsi="宋体" w:cs="宋体"/>
                <w:sz w:val="24"/>
              </w:rPr>
              <w:t>支持住院结算时符合条件使用先医后付，7、支持住院结算使用先医后付的反交易。</w:t>
            </w:r>
          </w:p>
          <w:p>
            <w:pPr>
              <w:widowControl/>
              <w:jc w:val="left"/>
              <w:textAlignment w:val="center"/>
              <w:rPr>
                <w:rFonts w:ascii="宋体" w:hAnsi="宋体" w:cs="宋体"/>
                <w:color w:val="000000"/>
                <w:sz w:val="22"/>
                <w:szCs w:val="22"/>
              </w:rPr>
            </w:pPr>
            <w:r>
              <w:rPr>
                <w:rFonts w:ascii="宋体" w:hAnsi="宋体" w:cs="宋体"/>
                <w:sz w:val="24"/>
              </w:rPr>
              <w:t>二、线上部分 1、支持门诊移动支付公众号与HIS端交互，2，支持公众号挂号平台与HIS端交互。</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88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76" w:lineRule="auto"/>
              <w:rPr>
                <w:rFonts w:ascii="华文仿宋" w:hAnsi="华文仿宋" w:eastAsia="华文仿宋"/>
                <w:bCs/>
                <w:sz w:val="28"/>
                <w:szCs w:val="28"/>
              </w:rPr>
            </w:pPr>
            <w:r>
              <w:rPr>
                <w:rFonts w:hint="eastAsia" w:ascii="华文仿宋" w:hAnsi="华文仿宋" w:eastAsia="华文仿宋"/>
                <w:bCs/>
                <w:sz w:val="28"/>
                <w:szCs w:val="28"/>
              </w:rPr>
              <w:t>药品进销存</w:t>
            </w: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2"/>
                <w:szCs w:val="22"/>
                <w:lang w:bidi="ar"/>
              </w:rPr>
            </w:pPr>
            <w:r>
              <w:rPr>
                <w:rFonts w:ascii="宋体" w:hAnsi="宋体" w:cs="宋体"/>
                <w:sz w:val="24"/>
              </w:rPr>
              <w:t>1、支持商品盘存上传</w:t>
            </w:r>
            <w:r>
              <w:rPr>
                <w:rFonts w:ascii="宋体" w:hAnsi="宋体" w:cs="宋体"/>
                <w:sz w:val="24"/>
              </w:rPr>
              <w:br w:type="textWrapping"/>
            </w:r>
            <w:r>
              <w:rPr>
                <w:rFonts w:ascii="宋体" w:hAnsi="宋体" w:cs="宋体"/>
                <w:sz w:val="24"/>
              </w:rPr>
              <w:t>2、支持商品库存变更</w:t>
            </w:r>
            <w:r>
              <w:rPr>
                <w:rFonts w:ascii="宋体" w:hAnsi="宋体" w:cs="宋体"/>
                <w:sz w:val="24"/>
              </w:rPr>
              <w:br w:type="textWrapping"/>
            </w:r>
            <w:r>
              <w:rPr>
                <w:rFonts w:ascii="宋体" w:hAnsi="宋体" w:cs="宋体"/>
                <w:sz w:val="24"/>
              </w:rPr>
              <w:t>3、支持商品采购</w:t>
            </w:r>
            <w:r>
              <w:rPr>
                <w:rFonts w:ascii="宋体" w:hAnsi="宋体" w:cs="宋体"/>
                <w:sz w:val="24"/>
              </w:rPr>
              <w:br w:type="textWrapping"/>
            </w:r>
            <w:r>
              <w:rPr>
                <w:rFonts w:ascii="宋体" w:hAnsi="宋体" w:cs="宋体"/>
                <w:sz w:val="24"/>
              </w:rPr>
              <w:t>4、支持商品采购退货</w:t>
            </w:r>
            <w:r>
              <w:rPr>
                <w:rFonts w:ascii="宋体" w:hAnsi="宋体" w:cs="宋体"/>
                <w:sz w:val="24"/>
              </w:rPr>
              <w:br w:type="textWrapping"/>
            </w:r>
            <w:r>
              <w:rPr>
                <w:rFonts w:ascii="宋体" w:hAnsi="宋体" w:cs="宋体"/>
                <w:sz w:val="24"/>
              </w:rPr>
              <w:t>5、支持商品销售</w:t>
            </w:r>
            <w:r>
              <w:rPr>
                <w:rFonts w:ascii="宋体" w:hAnsi="宋体" w:cs="宋体"/>
                <w:sz w:val="24"/>
              </w:rPr>
              <w:br w:type="textWrapping"/>
            </w:r>
            <w:r>
              <w:rPr>
                <w:rFonts w:ascii="宋体" w:hAnsi="宋体" w:cs="宋体"/>
                <w:sz w:val="24"/>
              </w:rPr>
              <w:t>6、支持商品销售退货</w:t>
            </w:r>
            <w:r>
              <w:rPr>
                <w:rFonts w:ascii="宋体" w:hAnsi="宋体" w:cs="宋体"/>
                <w:sz w:val="24"/>
              </w:rPr>
              <w:br w:type="textWrapping"/>
            </w:r>
            <w:r>
              <w:rPr>
                <w:rFonts w:ascii="宋体" w:hAnsi="宋体" w:cs="宋体"/>
                <w:sz w:val="24"/>
              </w:rPr>
              <w:t>7、支持商品信息删除</w:t>
            </w:r>
            <w:r>
              <w:rPr>
                <w:rFonts w:ascii="宋体" w:hAnsi="宋体" w:cs="宋体"/>
                <w:sz w:val="24"/>
              </w:rPr>
              <w:br w:type="textWrapping"/>
            </w:r>
            <w:r>
              <w:rPr>
                <w:rFonts w:ascii="宋体" w:hAnsi="宋体" w:cs="宋体"/>
                <w:sz w:val="24"/>
              </w:rPr>
              <w:t>8、支持定点医药机构商品库存信息查询</w:t>
            </w:r>
            <w:r>
              <w:rPr>
                <w:rFonts w:ascii="宋体" w:hAnsi="宋体" w:cs="宋体"/>
                <w:sz w:val="24"/>
              </w:rPr>
              <w:br w:type="textWrapping"/>
            </w:r>
            <w:r>
              <w:rPr>
                <w:rFonts w:ascii="宋体" w:hAnsi="宋体" w:cs="宋体"/>
                <w:sz w:val="24"/>
              </w:rPr>
              <w:t>9、支持定点医药机构商品库存变更记录查询</w:t>
            </w:r>
            <w:r>
              <w:rPr>
                <w:rFonts w:ascii="宋体" w:hAnsi="宋体" w:cs="宋体"/>
                <w:sz w:val="24"/>
              </w:rPr>
              <w:br w:type="textWrapping"/>
            </w:r>
            <w:r>
              <w:rPr>
                <w:rFonts w:ascii="宋体" w:hAnsi="宋体" w:cs="宋体"/>
                <w:sz w:val="24"/>
              </w:rPr>
              <w:t>10、支持定点医药机构商品采购信息查询</w:t>
            </w:r>
            <w:r>
              <w:rPr>
                <w:rFonts w:ascii="宋体" w:hAnsi="宋体" w:cs="宋体"/>
                <w:sz w:val="24"/>
              </w:rPr>
              <w:br w:type="textWrapping"/>
            </w:r>
            <w:r>
              <w:rPr>
                <w:rFonts w:ascii="宋体" w:hAnsi="宋体" w:cs="宋体"/>
                <w:sz w:val="24"/>
              </w:rPr>
              <w:t>11、支持定点医药机构商品销售信息查询</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88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5</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276" w:lineRule="auto"/>
              <w:rPr>
                <w:rFonts w:ascii="华文仿宋" w:hAnsi="华文仿宋" w:eastAsia="华文仿宋"/>
                <w:bCs/>
                <w:sz w:val="28"/>
                <w:szCs w:val="28"/>
              </w:rPr>
            </w:pPr>
            <w:r>
              <w:rPr>
                <w:rFonts w:hint="eastAsia" w:ascii="华文仿宋" w:hAnsi="华文仿宋" w:eastAsia="华文仿宋"/>
                <w:bCs/>
                <w:sz w:val="28"/>
                <w:szCs w:val="28"/>
              </w:rPr>
              <w:t>新版医保工伤接口</w:t>
            </w: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2"/>
                <w:szCs w:val="22"/>
                <w:lang w:bidi="ar"/>
              </w:rPr>
            </w:pPr>
            <w:r>
              <w:rPr>
                <w:rFonts w:ascii="宋体" w:hAnsi="宋体" w:cs="宋体"/>
                <w:sz w:val="24"/>
              </w:rPr>
              <w:t>1、支持工伤患者审批、上传信息</w:t>
            </w:r>
            <w:r>
              <w:rPr>
                <w:rFonts w:ascii="宋体" w:hAnsi="宋体" w:cs="宋体"/>
                <w:sz w:val="24"/>
              </w:rPr>
              <w:br w:type="textWrapping"/>
            </w:r>
            <w:r>
              <w:rPr>
                <w:rFonts w:ascii="宋体" w:hAnsi="宋体" w:cs="宋体"/>
                <w:sz w:val="24"/>
              </w:rPr>
              <w:t>2、支持患者门诊挂号、结算</w:t>
            </w:r>
            <w:r>
              <w:rPr>
                <w:rFonts w:ascii="宋体" w:hAnsi="宋体" w:cs="宋体"/>
                <w:sz w:val="24"/>
              </w:rPr>
              <w:br w:type="textWrapping"/>
            </w:r>
            <w:r>
              <w:rPr>
                <w:rFonts w:ascii="宋体" w:hAnsi="宋体" w:cs="宋体"/>
                <w:sz w:val="24"/>
              </w:rPr>
              <w:t>3、支持住院患者入院登记、结算</w:t>
            </w:r>
            <w:r>
              <w:rPr>
                <w:rFonts w:ascii="宋体" w:hAnsi="宋体" w:cs="宋体"/>
                <w:sz w:val="24"/>
              </w:rPr>
              <w:br w:type="textWrapping"/>
            </w:r>
            <w:r>
              <w:rPr>
                <w:rFonts w:ascii="宋体" w:hAnsi="宋体" w:cs="宋体"/>
                <w:sz w:val="24"/>
              </w:rPr>
              <w:t>4、支持工伤月对账、对账确认</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88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6</w:t>
            </w:r>
          </w:p>
        </w:tc>
        <w:tc>
          <w:tcPr>
            <w:tcW w:w="21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8"/>
              <w:spacing w:before="0" w:beforeAutospacing="0" w:after="0" w:afterAutospacing="0"/>
              <w:rPr>
                <w:sz w:val="28"/>
                <w:szCs w:val="28"/>
              </w:rPr>
            </w:pPr>
            <w:r>
              <w:rPr>
                <w:rFonts w:hint="eastAsia"/>
                <w:sz w:val="28"/>
                <w:szCs w:val="28"/>
              </w:rPr>
              <w:t>电子处方流转</w:t>
            </w:r>
          </w:p>
          <w:p>
            <w:pPr>
              <w:widowControl/>
              <w:jc w:val="center"/>
              <w:textAlignment w:val="center"/>
              <w:rPr>
                <w:rFonts w:ascii="宋体" w:hAnsi="宋体" w:cs="宋体"/>
                <w:color w:val="000000"/>
                <w:kern w:val="0"/>
                <w:sz w:val="22"/>
                <w:szCs w:val="22"/>
                <w:lang w:bidi="ar"/>
              </w:rPr>
            </w:pPr>
          </w:p>
        </w:tc>
        <w:tc>
          <w:tcPr>
            <w:tcW w:w="4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kern w:val="0"/>
                <w:sz w:val="22"/>
                <w:szCs w:val="22"/>
                <w:lang w:bidi="ar"/>
              </w:rPr>
            </w:pPr>
            <w:r>
              <w:rPr>
                <w:rFonts w:ascii="宋体" w:hAnsi="宋体" w:cs="宋体"/>
                <w:sz w:val="24"/>
              </w:rPr>
              <w:t>1、支持患者外配处方开立</w:t>
            </w:r>
            <w:r>
              <w:rPr>
                <w:rFonts w:ascii="宋体" w:hAnsi="宋体" w:cs="宋体"/>
                <w:sz w:val="24"/>
              </w:rPr>
              <w:br w:type="textWrapping"/>
            </w:r>
            <w:r>
              <w:rPr>
                <w:rFonts w:ascii="宋体" w:hAnsi="宋体" w:cs="宋体"/>
                <w:sz w:val="24"/>
              </w:rPr>
              <w:t>2、支持外配处方审核、上传及对应撤销操作</w:t>
            </w:r>
            <w:r>
              <w:rPr>
                <w:rFonts w:ascii="宋体" w:hAnsi="宋体" w:cs="宋体"/>
                <w:sz w:val="24"/>
              </w:rPr>
              <w:br w:type="textWrapping"/>
            </w:r>
            <w:r>
              <w:rPr>
                <w:rFonts w:ascii="宋体" w:hAnsi="宋体" w:cs="宋体"/>
                <w:sz w:val="24"/>
              </w:rPr>
              <w:t>3、支持外配处方查询</w:t>
            </w:r>
            <w:r>
              <w:rPr>
                <w:rFonts w:ascii="宋体" w:hAnsi="宋体" w:cs="宋体"/>
                <w:sz w:val="24"/>
              </w:rPr>
              <w:br w:type="textWrapping"/>
            </w:r>
            <w:r>
              <w:rPr>
                <w:rFonts w:ascii="宋体" w:hAnsi="宋体" w:cs="宋体"/>
                <w:sz w:val="24"/>
              </w:rPr>
              <w:t>4、支持外配处方打印</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套</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r>
    </w:tbl>
    <w:p>
      <w:pPr>
        <w:spacing w:line="276" w:lineRule="auto"/>
        <w:rPr>
          <w:rFonts w:ascii="华文仿宋" w:hAnsi="华文仿宋" w:eastAsia="华文仿宋"/>
          <w:bCs/>
          <w:sz w:val="28"/>
          <w:szCs w:val="28"/>
        </w:rPr>
      </w:pPr>
      <w:r>
        <w:rPr>
          <w:rFonts w:hint="eastAsia" w:ascii="华文仿宋" w:hAnsi="华文仿宋" w:eastAsia="华文仿宋"/>
          <w:bCs/>
          <w:sz w:val="28"/>
          <w:szCs w:val="28"/>
        </w:rPr>
        <w:t>服务地点：长春市九台区人民医院。</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1.3. 投标人资格条件</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1.3.1在中国注册的企业法人及其他组织，且经营范围符合项目要求。</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1.3.2具备独立承担民事责任的能力。</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1.3.3具备良好的商业信誉和健全的财务会计制度。</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1.3.4近三年内，在经营活动中没有重大违法记录。</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1.3.5能够提供增值税专用发票,具有一般纳税人资格。</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1.4. 项目预算：</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1.5.投标文件的递交</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1.5.1投标文件提交截止时间（开标时间）：自本项目采购公告发布之日起三个工作日     ，</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 xml:space="preserve">地点：长春市九台区福星大街100号，长春市九台区人民医院网络中心   </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1.5.2逾期送达的或不符合规定的投标文件将被拒绝。</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 xml:space="preserve">1.6.联系方式 </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联系人：刘海燕</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联系电话：  13844133644</w:t>
      </w:r>
      <w:r>
        <w:rPr>
          <w:rFonts w:hint="eastAsia" w:ascii="华文仿宋" w:hAnsi="华文仿宋" w:eastAsia="华文仿宋"/>
          <w:bCs/>
          <w:sz w:val="28"/>
          <w:szCs w:val="28"/>
        </w:rPr>
        <w:tab/>
      </w:r>
      <w:r>
        <w:rPr>
          <w:rFonts w:hint="eastAsia" w:ascii="华文仿宋" w:hAnsi="华文仿宋" w:eastAsia="华文仿宋"/>
          <w:bCs/>
          <w:sz w:val="28"/>
          <w:szCs w:val="28"/>
        </w:rPr>
        <w:br w:type="textWrapping"/>
      </w:r>
      <w:r>
        <w:rPr>
          <w:rFonts w:hint="eastAsia" w:ascii="华文仿宋" w:hAnsi="华文仿宋" w:eastAsia="华文仿宋"/>
          <w:bCs/>
          <w:sz w:val="28"/>
          <w:szCs w:val="28"/>
        </w:rPr>
        <w:t>电子邮箱：362980396@qq.com</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1.7.报名方式</w:t>
      </w:r>
    </w:p>
    <w:p>
      <w:pPr>
        <w:spacing w:line="276" w:lineRule="auto"/>
        <w:ind w:firstLine="560" w:firstLineChars="200"/>
        <w:rPr>
          <w:rFonts w:ascii="华文仿宋" w:hAnsi="华文仿宋" w:eastAsia="华文仿宋"/>
          <w:bCs/>
          <w:sz w:val="28"/>
          <w:szCs w:val="28"/>
        </w:rPr>
      </w:pPr>
      <w:r>
        <w:rPr>
          <w:rFonts w:hint="eastAsia" w:ascii="华文仿宋" w:hAnsi="华文仿宋" w:eastAsia="华文仿宋"/>
          <w:bCs/>
          <w:sz w:val="28"/>
          <w:szCs w:val="28"/>
        </w:rPr>
        <w:t>拟参加本项目的供货商可携带相关资料到长春市九台区人民医院网络信息中心现场参加审核报名，也可邮寄至九台区人民医院网络信息中心进行报名。</w:t>
      </w:r>
    </w:p>
    <w:p>
      <w:pPr>
        <w:pStyle w:val="9"/>
        <w:ind w:firstLine="0" w:firstLineChars="0"/>
      </w:pPr>
    </w:p>
    <w:sectPr>
      <w:pgSz w:w="11906" w:h="16838"/>
      <w:pgMar w:top="1077" w:right="1644" w:bottom="1077"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5AE733"/>
    <w:multiLevelType w:val="singleLevel"/>
    <w:tmpl w:val="0A5AE733"/>
    <w:lvl w:ilvl="0" w:tentative="0">
      <w:start w:val="3"/>
      <w:numFmt w:val="decimal"/>
      <w:suff w:val="nothing"/>
      <w:lvlText w:val="%1、"/>
      <w:lvlJc w:val="left"/>
    </w:lvl>
  </w:abstractNum>
  <w:abstractNum w:abstractNumId="1">
    <w:nsid w:val="44EB7592"/>
    <w:multiLevelType w:val="singleLevel"/>
    <w:tmpl w:val="44EB7592"/>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jZDc1MWI4OGRkZDQzZDEwYjFkZWU3MTY0NmFkZDUifQ=="/>
  </w:docVars>
  <w:rsids>
    <w:rsidRoot w:val="002261C9"/>
    <w:rsid w:val="000041D2"/>
    <w:rsid w:val="00087E20"/>
    <w:rsid w:val="00092C4C"/>
    <w:rsid w:val="000B5C5F"/>
    <w:rsid w:val="000C7688"/>
    <w:rsid w:val="000D34D1"/>
    <w:rsid w:val="000E3947"/>
    <w:rsid w:val="000E7494"/>
    <w:rsid w:val="000F0511"/>
    <w:rsid w:val="0011650B"/>
    <w:rsid w:val="001A3843"/>
    <w:rsid w:val="001B438C"/>
    <w:rsid w:val="00216B61"/>
    <w:rsid w:val="002261C9"/>
    <w:rsid w:val="002C1772"/>
    <w:rsid w:val="002D65BC"/>
    <w:rsid w:val="00326545"/>
    <w:rsid w:val="003C7076"/>
    <w:rsid w:val="003D6215"/>
    <w:rsid w:val="003F6B92"/>
    <w:rsid w:val="004126CB"/>
    <w:rsid w:val="00451458"/>
    <w:rsid w:val="0045565D"/>
    <w:rsid w:val="00456DA8"/>
    <w:rsid w:val="00456E05"/>
    <w:rsid w:val="00464C63"/>
    <w:rsid w:val="004B3C7E"/>
    <w:rsid w:val="00536272"/>
    <w:rsid w:val="005370E7"/>
    <w:rsid w:val="00552424"/>
    <w:rsid w:val="005A31A1"/>
    <w:rsid w:val="005C4FF3"/>
    <w:rsid w:val="005D7A2C"/>
    <w:rsid w:val="005F50C6"/>
    <w:rsid w:val="00634730"/>
    <w:rsid w:val="00665C16"/>
    <w:rsid w:val="00685A79"/>
    <w:rsid w:val="007461E8"/>
    <w:rsid w:val="00771A37"/>
    <w:rsid w:val="00796E2A"/>
    <w:rsid w:val="007D3D3B"/>
    <w:rsid w:val="007F6BE8"/>
    <w:rsid w:val="00873436"/>
    <w:rsid w:val="008808F2"/>
    <w:rsid w:val="00890B21"/>
    <w:rsid w:val="00897C29"/>
    <w:rsid w:val="008C75EA"/>
    <w:rsid w:val="00913CDF"/>
    <w:rsid w:val="009C2530"/>
    <w:rsid w:val="009F153C"/>
    <w:rsid w:val="00A2309C"/>
    <w:rsid w:val="00A261EA"/>
    <w:rsid w:val="00A71A29"/>
    <w:rsid w:val="00A76DF7"/>
    <w:rsid w:val="00A77B86"/>
    <w:rsid w:val="00A86075"/>
    <w:rsid w:val="00AA02A3"/>
    <w:rsid w:val="00B003D9"/>
    <w:rsid w:val="00B23344"/>
    <w:rsid w:val="00B97C4E"/>
    <w:rsid w:val="00BC668B"/>
    <w:rsid w:val="00C1197E"/>
    <w:rsid w:val="00C56EF5"/>
    <w:rsid w:val="00C60FE1"/>
    <w:rsid w:val="00C9419D"/>
    <w:rsid w:val="00CB1482"/>
    <w:rsid w:val="00D02681"/>
    <w:rsid w:val="00D07CE8"/>
    <w:rsid w:val="00D84998"/>
    <w:rsid w:val="00D865F9"/>
    <w:rsid w:val="00D95333"/>
    <w:rsid w:val="00DB49FF"/>
    <w:rsid w:val="00E227B1"/>
    <w:rsid w:val="00E440AA"/>
    <w:rsid w:val="00E57BDB"/>
    <w:rsid w:val="00E6409F"/>
    <w:rsid w:val="00E73D99"/>
    <w:rsid w:val="00ED282B"/>
    <w:rsid w:val="00EE3F1D"/>
    <w:rsid w:val="00F26B56"/>
    <w:rsid w:val="00FC1CF9"/>
    <w:rsid w:val="00FE0964"/>
    <w:rsid w:val="098366BD"/>
    <w:rsid w:val="11430ABF"/>
    <w:rsid w:val="25633AAF"/>
    <w:rsid w:val="4C103535"/>
    <w:rsid w:val="779949B2"/>
    <w:rsid w:val="7A676BDD"/>
    <w:rsid w:val="F3FF0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djustRightInd w:val="0"/>
      <w:spacing w:before="260" w:after="260" w:line="413" w:lineRule="auto"/>
      <w:jc w:val="left"/>
      <w:textAlignment w:val="baseline"/>
      <w:outlineLvl w:val="1"/>
    </w:pPr>
    <w:rPr>
      <w:rFonts w:ascii="Arial" w:hAnsi="Arial" w:eastAsia="黑体"/>
      <w:b/>
      <w:bCs/>
      <w:kern w:val="0"/>
      <w:sz w:val="32"/>
      <w:szCs w:val="32"/>
    </w:rPr>
  </w:style>
  <w:style w:type="character" w:default="1" w:styleId="12">
    <w:name w:val="Default Paragraph Font"/>
    <w:semiHidden/>
    <w:unhideWhenUsed/>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link w:val="15"/>
    <w:autoRedefine/>
    <w:semiHidden/>
    <w:unhideWhenUsed/>
    <w:qFormat/>
    <w:uiPriority w:val="99"/>
    <w:pPr>
      <w:spacing w:after="120"/>
    </w:pPr>
  </w:style>
  <w:style w:type="paragraph" w:styleId="4">
    <w:name w:val="Balloon Text"/>
    <w:basedOn w:val="1"/>
    <w:link w:val="18"/>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List"/>
    <w:basedOn w:val="1"/>
    <w:qFormat/>
    <w:uiPriority w:val="0"/>
    <w:pPr>
      <w:ind w:left="200" w:hanging="200" w:hangingChars="200"/>
    </w:p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Body Text First Indent"/>
    <w:basedOn w:val="3"/>
    <w:link w:val="16"/>
    <w:qFormat/>
    <w:uiPriority w:val="0"/>
    <w:pPr>
      <w:widowControl/>
      <w:spacing w:line="276" w:lineRule="auto"/>
      <w:ind w:firstLine="420" w:firstLineChars="100"/>
      <w:jc w:val="left"/>
    </w:pPr>
    <w:rPr>
      <w:rFonts w:ascii="Calibri" w:hAnsi="Calibri"/>
      <w:kern w:val="0"/>
      <w:sz w:val="22"/>
      <w:szCs w:val="22"/>
      <w:lang w:eastAsia="en-US"/>
    </w:rPr>
  </w:style>
  <w:style w:type="table" w:styleId="11">
    <w:name w:val="Table Grid"/>
    <w:basedOn w:val="10"/>
    <w:qFormat/>
    <w:uiPriority w:val="0"/>
    <w:pPr>
      <w:widowControl w:val="0"/>
      <w:jc w:val="both"/>
    </w:pPr>
    <w:rPr>
      <w:rFonts w:ascii="Calibri" w:hAnsi="Calibri"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页眉 Char"/>
    <w:basedOn w:val="12"/>
    <w:link w:val="6"/>
    <w:qFormat/>
    <w:uiPriority w:val="99"/>
    <w:rPr>
      <w:sz w:val="18"/>
      <w:szCs w:val="18"/>
    </w:rPr>
  </w:style>
  <w:style w:type="character" w:customStyle="1" w:styleId="14">
    <w:name w:val="页脚 Char"/>
    <w:basedOn w:val="12"/>
    <w:link w:val="5"/>
    <w:qFormat/>
    <w:uiPriority w:val="99"/>
    <w:rPr>
      <w:sz w:val="18"/>
      <w:szCs w:val="18"/>
    </w:rPr>
  </w:style>
  <w:style w:type="character" w:customStyle="1" w:styleId="15">
    <w:name w:val="正文文本 Char"/>
    <w:basedOn w:val="12"/>
    <w:link w:val="3"/>
    <w:semiHidden/>
    <w:qFormat/>
    <w:uiPriority w:val="99"/>
    <w:rPr>
      <w:rFonts w:ascii="Times New Roman" w:hAnsi="Times New Roman" w:eastAsia="宋体" w:cs="Times New Roman"/>
      <w:szCs w:val="24"/>
    </w:rPr>
  </w:style>
  <w:style w:type="character" w:customStyle="1" w:styleId="16">
    <w:name w:val="正文首行缩进 Char"/>
    <w:basedOn w:val="15"/>
    <w:link w:val="9"/>
    <w:qFormat/>
    <w:uiPriority w:val="0"/>
    <w:rPr>
      <w:rFonts w:ascii="Calibri" w:hAnsi="Calibri" w:eastAsia="宋体" w:cs="Times New Roman"/>
      <w:kern w:val="0"/>
      <w:sz w:val="22"/>
      <w:szCs w:val="24"/>
      <w:lang w:eastAsia="en-US"/>
    </w:rPr>
  </w:style>
  <w:style w:type="paragraph" w:styleId="17">
    <w:name w:val="List Paragraph"/>
    <w:basedOn w:val="1"/>
    <w:qFormat/>
    <w:uiPriority w:val="99"/>
    <w:pPr>
      <w:ind w:firstLine="420" w:firstLineChars="200"/>
    </w:pPr>
    <w:rPr>
      <w:szCs w:val="20"/>
    </w:rPr>
  </w:style>
  <w:style w:type="character" w:customStyle="1" w:styleId="18">
    <w:name w:val="批注框文本 Char"/>
    <w:basedOn w:val="12"/>
    <w:link w:val="4"/>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265</Words>
  <Characters>1517</Characters>
  <Lines>12</Lines>
  <Paragraphs>3</Paragraphs>
  <TotalTime>1</TotalTime>
  <ScaleCrop>false</ScaleCrop>
  <LinksUpToDate>false</LinksUpToDate>
  <CharactersWithSpaces>1779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2023-12-29T01:57:00Z</dcterms:created>
  <dc:creator>fzj</dc:creator>
  <cp:lastModifiedBy>小张</cp:lastModifiedBy>
  <cp:lastPrinted>2019-10-31T03:25:00Z</cp:lastPrinted>
  <dcterms:modified xsi:type="dcterms:W3CDTF">2024-01-03T01:43:05Z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D8F5479A42224847843F11133FAD253C_13</vt:lpwstr>
  </property>
</Properties>
</file>